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B76" w:rsidRPr="005B609A" w:rsidRDefault="00486531">
      <w:pPr>
        <w:jc w:val="center"/>
        <w:rPr>
          <w:rFonts w:ascii="Tahoma" w:hAnsi="Tahoma" w:cs="Tahoma"/>
          <w:b/>
          <w:bCs/>
          <w:sz w:val="18"/>
          <w:szCs w:val="18"/>
        </w:rPr>
      </w:pPr>
      <w:r w:rsidRPr="005B609A">
        <w:rPr>
          <w:rFonts w:ascii="Tahoma" w:hAnsi="Tahoma" w:cs="Tahoma"/>
          <w:b/>
          <w:bCs/>
          <w:sz w:val="18"/>
          <w:szCs w:val="18"/>
        </w:rPr>
        <w:t>Opis wymagań minimalnych dla przełączników</w:t>
      </w:r>
    </w:p>
    <w:p w:rsidR="00AB127E" w:rsidRPr="005B609A" w:rsidRDefault="00AB127E">
      <w:pPr>
        <w:jc w:val="center"/>
        <w:rPr>
          <w:rFonts w:ascii="Tahoma" w:hAnsi="Tahoma" w:cs="Tahoma"/>
          <w:sz w:val="18"/>
          <w:szCs w:val="18"/>
        </w:rPr>
      </w:pPr>
      <w:r w:rsidRPr="005B609A">
        <w:rPr>
          <w:rFonts w:ascii="Tahoma" w:hAnsi="Tahoma" w:cs="Tahoma"/>
          <w:sz w:val="18"/>
          <w:szCs w:val="18"/>
        </w:rPr>
        <w:t>Przełączniki dostępow</w:t>
      </w:r>
      <w:r w:rsidR="00B83A34">
        <w:rPr>
          <w:rFonts w:ascii="Tahoma" w:hAnsi="Tahoma" w:cs="Tahoma"/>
          <w:sz w:val="18"/>
          <w:szCs w:val="18"/>
        </w:rPr>
        <w:t>e</w:t>
      </w:r>
      <w:r w:rsidRPr="005B609A">
        <w:rPr>
          <w:rFonts w:ascii="Tahoma" w:hAnsi="Tahoma" w:cs="Tahoma"/>
          <w:sz w:val="18"/>
          <w:szCs w:val="18"/>
        </w:rPr>
        <w:t xml:space="preserve"> – </w:t>
      </w:r>
      <w:r w:rsidR="00C507FD" w:rsidRPr="005B609A">
        <w:rPr>
          <w:rFonts w:ascii="Tahoma" w:hAnsi="Tahoma" w:cs="Tahoma"/>
          <w:sz w:val="18"/>
          <w:szCs w:val="18"/>
        </w:rPr>
        <w:t>3</w:t>
      </w:r>
      <w:r w:rsidRPr="005B609A">
        <w:rPr>
          <w:rFonts w:ascii="Tahoma" w:hAnsi="Tahoma" w:cs="Tahoma"/>
          <w:sz w:val="18"/>
          <w:szCs w:val="18"/>
        </w:rPr>
        <w:t xml:space="preserve"> szt.</w:t>
      </w:r>
    </w:p>
    <w:p w:rsidR="00417A68" w:rsidRPr="00B334B1" w:rsidRDefault="00AB127E">
      <w:pPr>
        <w:rPr>
          <w:rFonts w:ascii="Tahoma" w:hAnsi="Tahoma" w:cs="Tahoma"/>
          <w:sz w:val="18"/>
          <w:szCs w:val="18"/>
        </w:rPr>
      </w:pPr>
      <w:r w:rsidRPr="00B334B1">
        <w:rPr>
          <w:rFonts w:ascii="Tahoma" w:hAnsi="Tahoma" w:cs="Tahoma"/>
          <w:sz w:val="18"/>
          <w:szCs w:val="18"/>
        </w:rPr>
        <w:t>Żadne oprogramowanie dostarczone (również oprogramowanie zainstalowane na dostarczonym sprzęcie) nie będzie wytworzoną wersją jedynie na potrzeby niniejszego postępowania. Musi być dostępne dla wszystkich klientów. Wersje tego oprogramowania muszą posiadać wsparcie techniczne ich producenta albo producenta dostarczanego sprzętu.</w:t>
      </w:r>
    </w:p>
    <w:p w:rsidR="007E1D1C" w:rsidRDefault="007E1D1C" w:rsidP="007E1D1C">
      <w:pPr>
        <w:pStyle w:val="Akapitzlist"/>
        <w:spacing w:after="0"/>
        <w:ind w:left="1440"/>
        <w:rPr>
          <w:rFonts w:ascii="Tahoma" w:hAnsi="Tahoma" w:cs="Tahoma"/>
          <w:sz w:val="18"/>
          <w:szCs w:val="18"/>
        </w:rPr>
      </w:pPr>
    </w:p>
    <w:p w:rsidR="007E1D1C" w:rsidRPr="007E1D1C" w:rsidRDefault="007E1D1C" w:rsidP="007E1D1C">
      <w:pPr>
        <w:pStyle w:val="Akapitzlist"/>
        <w:spacing w:after="0"/>
        <w:ind w:left="1440"/>
        <w:rPr>
          <w:rFonts w:ascii="Tahoma" w:hAnsi="Tahoma" w:cs="Tahoma"/>
          <w:sz w:val="18"/>
          <w:szCs w:val="18"/>
        </w:rPr>
      </w:pPr>
      <w:r w:rsidRPr="007E1D1C">
        <w:rPr>
          <w:rFonts w:ascii="Tahoma" w:hAnsi="Tahoma" w:cs="Tahoma"/>
          <w:sz w:val="18"/>
          <w:szCs w:val="18"/>
        </w:rPr>
        <w:t>Oferowany model / producent /  ……………………………………………………………………………</w:t>
      </w:r>
    </w:p>
    <w:p w:rsidR="007E1D1C" w:rsidRPr="007E1D1C" w:rsidRDefault="007E1D1C" w:rsidP="007E1D1C">
      <w:pPr>
        <w:pStyle w:val="Akapitzlist"/>
        <w:spacing w:after="0"/>
        <w:ind w:left="1440"/>
        <w:rPr>
          <w:rFonts w:ascii="Tahoma" w:hAnsi="Tahoma" w:cs="Tahoma"/>
          <w:i/>
          <w:sz w:val="18"/>
          <w:szCs w:val="18"/>
        </w:rPr>
      </w:pPr>
      <w:r w:rsidRPr="007E1D1C">
        <w:rPr>
          <w:rFonts w:ascii="Tahoma" w:hAnsi="Tahoma" w:cs="Tahoma"/>
          <w:sz w:val="18"/>
          <w:szCs w:val="18"/>
        </w:rPr>
        <w:t xml:space="preserve">                                                           (</w:t>
      </w:r>
      <w:r w:rsidRPr="007E1D1C">
        <w:rPr>
          <w:rFonts w:ascii="Tahoma" w:hAnsi="Tahoma" w:cs="Tahoma"/>
          <w:i/>
          <w:sz w:val="18"/>
          <w:szCs w:val="18"/>
        </w:rPr>
        <w:t>Wypełnia Wykonawca)</w:t>
      </w:r>
    </w:p>
    <w:p w:rsidR="00B84772" w:rsidRPr="005B609A" w:rsidRDefault="00B84772" w:rsidP="00C446F5">
      <w:pPr>
        <w:spacing w:after="0"/>
        <w:rPr>
          <w:rFonts w:ascii="Tahoma" w:hAnsi="Tahoma" w:cs="Tahoma"/>
          <w:b/>
          <w:bCs/>
          <w:sz w:val="18"/>
          <w:szCs w:val="18"/>
        </w:rPr>
      </w:pPr>
    </w:p>
    <w:tbl>
      <w:tblPr>
        <w:tblStyle w:val="Tabela-Siatka"/>
        <w:tblpPr w:leftFromText="141" w:rightFromText="141" w:vertAnchor="text" w:tblpY="1"/>
        <w:tblOverlap w:val="never"/>
        <w:tblW w:w="8926" w:type="dxa"/>
        <w:tblLayout w:type="fixed"/>
        <w:tblLook w:val="06A0"/>
      </w:tblPr>
      <w:tblGrid>
        <w:gridCol w:w="660"/>
        <w:gridCol w:w="8266"/>
      </w:tblGrid>
      <w:tr w:rsidR="00C932A6" w:rsidRPr="005B609A" w:rsidTr="009401CF">
        <w:tc>
          <w:tcPr>
            <w:tcW w:w="660" w:type="dxa"/>
            <w:shd w:val="clear" w:color="auto" w:fill="7F7F7F" w:themeFill="text1" w:themeFillTint="80"/>
          </w:tcPr>
          <w:p w:rsidR="00C932A6" w:rsidRPr="005B609A" w:rsidRDefault="00C932A6" w:rsidP="004B5C35">
            <w:pPr>
              <w:contextualSpacing/>
              <w:textAlignment w:val="baseline"/>
              <w:rPr>
                <w:rFonts w:ascii="Tahoma" w:hAnsi="Tahoma" w:cs="Tahoma"/>
                <w:sz w:val="18"/>
                <w:szCs w:val="18"/>
              </w:rPr>
            </w:pPr>
            <w:r w:rsidRPr="005B609A">
              <w:rPr>
                <w:rFonts w:ascii="Tahoma" w:hAnsi="Tahoma" w:cs="Tahoma"/>
                <w:sz w:val="18"/>
                <w:szCs w:val="18"/>
              </w:rPr>
              <w:t>Lp</w:t>
            </w:r>
            <w:r w:rsidR="00C60F2F" w:rsidRPr="005B609A">
              <w:rPr>
                <w:rFonts w:ascii="Tahoma" w:hAnsi="Tahoma" w:cs="Tahoma"/>
                <w:sz w:val="18"/>
                <w:szCs w:val="18"/>
              </w:rPr>
              <w:t>.</w:t>
            </w:r>
          </w:p>
        </w:tc>
        <w:tc>
          <w:tcPr>
            <w:tcW w:w="8266" w:type="dxa"/>
            <w:shd w:val="clear" w:color="auto" w:fill="7F7F7F" w:themeFill="text1" w:themeFillTint="80"/>
          </w:tcPr>
          <w:p w:rsidR="00C932A6" w:rsidRPr="005B609A" w:rsidRDefault="00C60F2F" w:rsidP="004B5C35">
            <w:pPr>
              <w:contextualSpacing/>
              <w:textAlignment w:val="baseline"/>
              <w:rPr>
                <w:rFonts w:ascii="Tahoma" w:hAnsi="Tahoma" w:cs="Tahoma"/>
                <w:sz w:val="18"/>
                <w:szCs w:val="18"/>
              </w:rPr>
            </w:pPr>
            <w:r w:rsidRPr="005B609A">
              <w:rPr>
                <w:rFonts w:ascii="Tahoma" w:hAnsi="Tahoma" w:cs="Tahoma"/>
                <w:sz w:val="18"/>
                <w:szCs w:val="18"/>
              </w:rPr>
              <w:t>Opis wymagań</w:t>
            </w:r>
          </w:p>
        </w:tc>
      </w:tr>
      <w:tr w:rsidR="00C932A6" w:rsidRPr="005B609A" w:rsidTr="00296165">
        <w:tc>
          <w:tcPr>
            <w:tcW w:w="660" w:type="dxa"/>
            <w:vAlign w:val="center"/>
          </w:tcPr>
          <w:p w:rsidR="00C932A6" w:rsidRPr="005B609A" w:rsidRDefault="00C932A6" w:rsidP="00296165">
            <w:pPr>
              <w:contextualSpacing/>
              <w:jc w:val="center"/>
              <w:textAlignment w:val="baseline"/>
              <w:rPr>
                <w:rFonts w:ascii="Tahoma" w:hAnsi="Tahoma" w:cs="Tahoma"/>
                <w:sz w:val="18"/>
                <w:szCs w:val="18"/>
              </w:rPr>
            </w:pPr>
            <w:r w:rsidRPr="005B609A">
              <w:rPr>
                <w:rFonts w:ascii="Tahoma" w:hAnsi="Tahoma" w:cs="Tahoma"/>
                <w:sz w:val="18"/>
                <w:szCs w:val="18"/>
              </w:rPr>
              <w:t>1.</w:t>
            </w:r>
          </w:p>
        </w:tc>
        <w:tc>
          <w:tcPr>
            <w:tcW w:w="8266" w:type="dxa"/>
          </w:tcPr>
          <w:p w:rsidR="00C932A6" w:rsidRPr="005B609A" w:rsidRDefault="00C932A6" w:rsidP="004B5C35">
            <w:pPr>
              <w:suppressAutoHyphens w:val="0"/>
              <w:spacing w:after="120"/>
              <w:contextualSpacing/>
              <w:jc w:val="both"/>
              <w:rPr>
                <w:rFonts w:ascii="Tahoma" w:hAnsi="Tahoma" w:cs="Tahoma"/>
                <w:sz w:val="18"/>
                <w:szCs w:val="18"/>
              </w:rPr>
            </w:pPr>
            <w:r w:rsidRPr="005B609A">
              <w:rPr>
                <w:rFonts w:ascii="Tahoma" w:hAnsi="Tahoma" w:cs="Tahoma"/>
                <w:sz w:val="18"/>
                <w:szCs w:val="18"/>
              </w:rPr>
              <w:t>Typ i liczba portów liniowych w ramach urządzenia:</w:t>
            </w:r>
          </w:p>
          <w:p w:rsidR="00C932A6" w:rsidRPr="005B609A" w:rsidRDefault="00C932A6" w:rsidP="004B5C35">
            <w:pPr>
              <w:suppressAutoHyphens w:val="0"/>
              <w:spacing w:after="120"/>
              <w:contextualSpacing/>
              <w:jc w:val="both"/>
              <w:rPr>
                <w:rFonts w:ascii="Tahoma" w:hAnsi="Tahoma" w:cs="Tahoma"/>
                <w:sz w:val="18"/>
                <w:szCs w:val="18"/>
              </w:rPr>
            </w:pPr>
            <w:r w:rsidRPr="005B609A">
              <w:rPr>
                <w:rFonts w:ascii="Tahoma" w:hAnsi="Tahoma" w:cs="Tahoma"/>
                <w:sz w:val="18"/>
                <w:szCs w:val="18"/>
              </w:rPr>
              <w:t xml:space="preserve">a) Minimum 48 portów 10/100/1000 </w:t>
            </w:r>
          </w:p>
          <w:p w:rsidR="00C932A6" w:rsidRPr="005B609A" w:rsidRDefault="00C932A6" w:rsidP="004B5C35">
            <w:pPr>
              <w:suppressAutoHyphens w:val="0"/>
              <w:spacing w:after="120"/>
              <w:contextualSpacing/>
              <w:jc w:val="both"/>
              <w:rPr>
                <w:rFonts w:ascii="Tahoma" w:hAnsi="Tahoma" w:cs="Tahoma"/>
                <w:sz w:val="18"/>
                <w:szCs w:val="18"/>
              </w:rPr>
            </w:pPr>
            <w:r w:rsidRPr="005B609A">
              <w:rPr>
                <w:rFonts w:ascii="Tahoma" w:hAnsi="Tahoma" w:cs="Tahoma"/>
                <w:sz w:val="18"/>
                <w:szCs w:val="18"/>
              </w:rPr>
              <w:t>b) Minimum 8 portów 1/10GE na wkładki SFP/SFP+. Porty muszą obsługiwać prędkości 1Gbit/s oraz 10Gbit/s w zależności od zainstalowanej wkładki SFP/SFP+ lub kabla DAC. Wszystkie porty muszą być aktywne.</w:t>
            </w:r>
          </w:p>
          <w:p w:rsidR="00BE2F18" w:rsidRPr="005B609A" w:rsidRDefault="00C932A6" w:rsidP="004B5C35">
            <w:pPr>
              <w:suppressAutoHyphens w:val="0"/>
              <w:spacing w:after="120"/>
              <w:contextualSpacing/>
              <w:jc w:val="both"/>
              <w:rPr>
                <w:rFonts w:ascii="Tahoma" w:hAnsi="Tahoma" w:cs="Tahoma"/>
                <w:sz w:val="18"/>
                <w:szCs w:val="18"/>
              </w:rPr>
            </w:pPr>
            <w:r w:rsidRPr="005B609A">
              <w:rPr>
                <w:rFonts w:ascii="Tahoma" w:hAnsi="Tahoma" w:cs="Tahoma"/>
                <w:sz w:val="18"/>
                <w:szCs w:val="18"/>
              </w:rPr>
              <w:t>c) Porty SFP/SFP+ muszą umożliwiać ich obsadzanie wkładkami  – minimum 1000Base-SX, 1000BaseLX/LH, 1000Base-BX-D/U, 10Gbit-SR, 10Gbit-LR - zależnie od potrzeb Zamawiającego</w:t>
            </w:r>
          </w:p>
          <w:p w:rsidR="00BE2F18" w:rsidRPr="005B609A" w:rsidRDefault="00BE2F18" w:rsidP="004B5C35">
            <w:pPr>
              <w:suppressAutoHyphens w:val="0"/>
              <w:spacing w:after="120"/>
              <w:contextualSpacing/>
              <w:jc w:val="both"/>
              <w:rPr>
                <w:rFonts w:ascii="Tahoma" w:hAnsi="Tahoma" w:cs="Tahoma"/>
                <w:sz w:val="18"/>
                <w:szCs w:val="18"/>
              </w:rPr>
            </w:pPr>
            <w:r w:rsidRPr="005B609A">
              <w:rPr>
                <w:rFonts w:ascii="Tahoma" w:hAnsi="Tahoma" w:cs="Tahoma"/>
                <w:sz w:val="18"/>
                <w:szCs w:val="18"/>
              </w:rPr>
              <w:t>d) Wszystkie porty</w:t>
            </w:r>
            <w:r w:rsidR="00C65723" w:rsidRPr="005B609A">
              <w:rPr>
                <w:rFonts w:ascii="Tahoma" w:hAnsi="Tahoma" w:cs="Tahoma"/>
                <w:sz w:val="18"/>
                <w:szCs w:val="18"/>
              </w:rPr>
              <w:t xml:space="preserve"> SFP/SFP+</w:t>
            </w:r>
            <w:r w:rsidRPr="005B609A">
              <w:rPr>
                <w:rFonts w:ascii="Tahoma" w:hAnsi="Tahoma" w:cs="Tahoma"/>
                <w:sz w:val="18"/>
                <w:szCs w:val="18"/>
              </w:rPr>
              <w:t xml:space="preserve"> muszą być obsadzone wkładkami wielomodowymi SFP+ 10Gbit-SR 850nm</w:t>
            </w:r>
            <w:r w:rsidR="00C65723" w:rsidRPr="005B609A">
              <w:rPr>
                <w:rFonts w:ascii="Tahoma" w:hAnsi="Tahoma" w:cs="Tahoma"/>
                <w:sz w:val="18"/>
                <w:szCs w:val="18"/>
              </w:rPr>
              <w:t xml:space="preserve"> LC</w:t>
            </w:r>
            <w:r w:rsidRPr="005B609A">
              <w:rPr>
                <w:rFonts w:ascii="Tahoma" w:hAnsi="Tahoma" w:cs="Tahoma"/>
                <w:sz w:val="18"/>
                <w:szCs w:val="18"/>
              </w:rPr>
              <w:t xml:space="preserve"> 300m </w:t>
            </w:r>
          </w:p>
        </w:tc>
      </w:tr>
      <w:tr w:rsidR="00C932A6" w:rsidRPr="005B609A" w:rsidTr="00296165">
        <w:tc>
          <w:tcPr>
            <w:tcW w:w="660" w:type="dxa"/>
            <w:vAlign w:val="center"/>
          </w:tcPr>
          <w:p w:rsidR="00C932A6" w:rsidRPr="005B609A" w:rsidRDefault="00C932A6" w:rsidP="00296165">
            <w:pPr>
              <w:contextualSpacing/>
              <w:jc w:val="center"/>
              <w:textAlignment w:val="baseline"/>
              <w:rPr>
                <w:rFonts w:ascii="Tahoma" w:hAnsi="Tahoma" w:cs="Tahoma"/>
                <w:sz w:val="18"/>
                <w:szCs w:val="18"/>
              </w:rPr>
            </w:pPr>
            <w:r w:rsidRPr="005B609A">
              <w:rPr>
                <w:rFonts w:ascii="Tahoma" w:hAnsi="Tahoma" w:cs="Tahoma"/>
                <w:sz w:val="18"/>
                <w:szCs w:val="18"/>
              </w:rPr>
              <w:t>2.</w:t>
            </w:r>
          </w:p>
        </w:tc>
        <w:tc>
          <w:tcPr>
            <w:tcW w:w="8266" w:type="dxa"/>
          </w:tcPr>
          <w:p w:rsidR="00C932A6" w:rsidRPr="005B609A" w:rsidRDefault="00C932A6" w:rsidP="004B5C35">
            <w:pPr>
              <w:suppressAutoHyphens w:val="0"/>
              <w:spacing w:after="120"/>
              <w:contextualSpacing/>
              <w:jc w:val="both"/>
              <w:textAlignment w:val="baseline"/>
              <w:rPr>
                <w:rFonts w:ascii="Tahoma" w:hAnsi="Tahoma" w:cs="Tahoma"/>
                <w:sz w:val="18"/>
                <w:szCs w:val="18"/>
              </w:rPr>
            </w:pPr>
            <w:r w:rsidRPr="005B609A">
              <w:rPr>
                <w:rFonts w:ascii="Tahoma" w:hAnsi="Tahoma" w:cs="Tahoma"/>
                <w:sz w:val="18"/>
                <w:szCs w:val="18"/>
              </w:rPr>
              <w:t>Minimalna wydajność przełączania ruchu 190Mpps  (dla pakietów 64-bajtowych) oraz wymagana minimalna przepustowość matrycy 250Gb/s full duplex.</w:t>
            </w:r>
          </w:p>
        </w:tc>
      </w:tr>
      <w:tr w:rsidR="00C932A6" w:rsidRPr="005B609A" w:rsidTr="00296165">
        <w:tc>
          <w:tcPr>
            <w:tcW w:w="660" w:type="dxa"/>
            <w:vAlign w:val="center"/>
          </w:tcPr>
          <w:p w:rsidR="00C932A6" w:rsidRPr="005B609A" w:rsidRDefault="00C932A6" w:rsidP="00296165">
            <w:pPr>
              <w:contextualSpacing/>
              <w:jc w:val="center"/>
              <w:textAlignment w:val="baseline"/>
              <w:rPr>
                <w:rFonts w:ascii="Tahoma" w:hAnsi="Tahoma" w:cs="Tahoma"/>
                <w:sz w:val="18"/>
                <w:szCs w:val="18"/>
              </w:rPr>
            </w:pPr>
            <w:r w:rsidRPr="005B609A">
              <w:rPr>
                <w:rFonts w:ascii="Tahoma" w:hAnsi="Tahoma" w:cs="Tahoma"/>
                <w:sz w:val="18"/>
                <w:szCs w:val="18"/>
              </w:rPr>
              <w:t>3.</w:t>
            </w:r>
          </w:p>
        </w:tc>
        <w:tc>
          <w:tcPr>
            <w:tcW w:w="8266" w:type="dxa"/>
          </w:tcPr>
          <w:p w:rsidR="00C932A6" w:rsidRPr="005B609A" w:rsidRDefault="00C932A6" w:rsidP="004B5C35">
            <w:pPr>
              <w:contextualSpacing/>
              <w:textAlignment w:val="baseline"/>
              <w:rPr>
                <w:rFonts w:ascii="Tahoma" w:hAnsi="Tahoma" w:cs="Tahoma"/>
                <w:sz w:val="18"/>
                <w:szCs w:val="18"/>
              </w:rPr>
            </w:pPr>
            <w:r w:rsidRPr="005B609A">
              <w:rPr>
                <w:rFonts w:ascii="Tahoma" w:hAnsi="Tahoma" w:cs="Tahoma"/>
                <w:sz w:val="18"/>
                <w:szCs w:val="18"/>
              </w:rPr>
              <w:t>Musi zapewniać obsługę min. 12000 tras FIB IPv4.</w:t>
            </w:r>
          </w:p>
        </w:tc>
      </w:tr>
      <w:tr w:rsidR="00C932A6" w:rsidRPr="005B609A" w:rsidTr="00296165">
        <w:tc>
          <w:tcPr>
            <w:tcW w:w="660" w:type="dxa"/>
            <w:vAlign w:val="center"/>
          </w:tcPr>
          <w:p w:rsidR="00C932A6" w:rsidRPr="005B609A" w:rsidRDefault="00C932A6" w:rsidP="00296165">
            <w:pPr>
              <w:contextualSpacing/>
              <w:jc w:val="center"/>
              <w:textAlignment w:val="baseline"/>
              <w:rPr>
                <w:rFonts w:ascii="Tahoma" w:hAnsi="Tahoma" w:cs="Tahoma"/>
                <w:sz w:val="18"/>
                <w:szCs w:val="18"/>
              </w:rPr>
            </w:pPr>
            <w:r w:rsidRPr="005B609A">
              <w:rPr>
                <w:rFonts w:ascii="Tahoma" w:hAnsi="Tahoma" w:cs="Tahoma"/>
                <w:sz w:val="18"/>
                <w:szCs w:val="18"/>
              </w:rPr>
              <w:t>4.</w:t>
            </w:r>
          </w:p>
        </w:tc>
        <w:tc>
          <w:tcPr>
            <w:tcW w:w="8266" w:type="dxa"/>
          </w:tcPr>
          <w:p w:rsidR="00C932A6" w:rsidRPr="005B609A" w:rsidRDefault="00C932A6" w:rsidP="004B5C35">
            <w:pPr>
              <w:suppressAutoHyphens w:val="0"/>
              <w:spacing w:after="120"/>
              <w:contextualSpacing/>
              <w:jc w:val="both"/>
              <w:textAlignment w:val="baseline"/>
              <w:rPr>
                <w:rFonts w:ascii="Tahoma" w:hAnsi="Tahoma" w:cs="Tahoma"/>
                <w:sz w:val="18"/>
                <w:szCs w:val="18"/>
              </w:rPr>
            </w:pPr>
            <w:r w:rsidRPr="005B609A">
              <w:rPr>
                <w:rFonts w:ascii="Tahoma" w:hAnsi="Tahoma" w:cs="Tahoma"/>
                <w:sz w:val="18"/>
                <w:szCs w:val="18"/>
              </w:rPr>
              <w:t>Urządzenie musi obsługiwać minimum 16000 adresów MAC</w:t>
            </w:r>
          </w:p>
        </w:tc>
      </w:tr>
      <w:tr w:rsidR="00C932A6" w:rsidRPr="005B609A" w:rsidTr="00296165">
        <w:tc>
          <w:tcPr>
            <w:tcW w:w="660" w:type="dxa"/>
            <w:vAlign w:val="center"/>
          </w:tcPr>
          <w:p w:rsidR="00C932A6" w:rsidRPr="005B609A" w:rsidRDefault="00C932A6" w:rsidP="00296165">
            <w:pPr>
              <w:contextualSpacing/>
              <w:jc w:val="center"/>
              <w:textAlignment w:val="baseline"/>
              <w:rPr>
                <w:rFonts w:ascii="Tahoma" w:hAnsi="Tahoma" w:cs="Tahoma"/>
                <w:sz w:val="18"/>
                <w:szCs w:val="18"/>
              </w:rPr>
            </w:pPr>
            <w:r w:rsidRPr="005B609A">
              <w:rPr>
                <w:rFonts w:ascii="Tahoma" w:hAnsi="Tahoma" w:cs="Tahoma"/>
                <w:sz w:val="18"/>
                <w:szCs w:val="18"/>
              </w:rPr>
              <w:t>5.</w:t>
            </w:r>
          </w:p>
        </w:tc>
        <w:tc>
          <w:tcPr>
            <w:tcW w:w="8266" w:type="dxa"/>
          </w:tcPr>
          <w:p w:rsidR="00C932A6" w:rsidRPr="005B609A" w:rsidRDefault="00C932A6" w:rsidP="004B5C35">
            <w:pPr>
              <w:suppressAutoHyphens w:val="0"/>
              <w:spacing w:after="120"/>
              <w:contextualSpacing/>
              <w:jc w:val="both"/>
              <w:textAlignment w:val="baseline"/>
              <w:rPr>
                <w:rFonts w:ascii="Tahoma" w:hAnsi="Tahoma" w:cs="Tahoma"/>
                <w:sz w:val="18"/>
                <w:szCs w:val="18"/>
              </w:rPr>
            </w:pPr>
            <w:r w:rsidRPr="005B609A">
              <w:rPr>
                <w:rFonts w:ascii="Tahoma" w:hAnsi="Tahoma" w:cs="Tahoma"/>
                <w:sz w:val="18"/>
                <w:szCs w:val="18"/>
              </w:rPr>
              <w:t>Przełącznik musi umożliwiać dodanie redundancji zasilania poprzez dodanie dodatkowego zasilacza wewnętrznego lub zewnętrznego.</w:t>
            </w:r>
          </w:p>
        </w:tc>
      </w:tr>
      <w:tr w:rsidR="00C932A6" w:rsidRPr="005B609A" w:rsidTr="00296165">
        <w:tc>
          <w:tcPr>
            <w:tcW w:w="660" w:type="dxa"/>
            <w:vAlign w:val="center"/>
          </w:tcPr>
          <w:p w:rsidR="00C932A6" w:rsidRPr="005B609A" w:rsidRDefault="00C932A6" w:rsidP="00296165">
            <w:pPr>
              <w:contextualSpacing/>
              <w:jc w:val="center"/>
              <w:textAlignment w:val="baseline"/>
              <w:rPr>
                <w:rFonts w:ascii="Tahoma" w:hAnsi="Tahoma" w:cs="Tahoma"/>
                <w:sz w:val="18"/>
                <w:szCs w:val="18"/>
              </w:rPr>
            </w:pPr>
            <w:r w:rsidRPr="005B609A">
              <w:rPr>
                <w:rFonts w:ascii="Tahoma" w:hAnsi="Tahoma" w:cs="Tahoma"/>
                <w:sz w:val="18"/>
                <w:szCs w:val="18"/>
              </w:rPr>
              <w:t>6.</w:t>
            </w:r>
          </w:p>
        </w:tc>
        <w:tc>
          <w:tcPr>
            <w:tcW w:w="8266" w:type="dxa"/>
          </w:tcPr>
          <w:p w:rsidR="00C932A6" w:rsidRPr="005B609A" w:rsidRDefault="00C932A6" w:rsidP="004B5C35">
            <w:pPr>
              <w:suppressAutoHyphens w:val="0"/>
              <w:spacing w:after="120"/>
              <w:contextualSpacing/>
              <w:jc w:val="both"/>
              <w:textAlignment w:val="baseline"/>
              <w:rPr>
                <w:rFonts w:ascii="Tahoma" w:hAnsi="Tahoma" w:cs="Tahoma"/>
                <w:sz w:val="18"/>
                <w:szCs w:val="18"/>
              </w:rPr>
            </w:pPr>
            <w:r w:rsidRPr="005B609A">
              <w:rPr>
                <w:rFonts w:ascii="Tahoma" w:hAnsi="Tahoma" w:cs="Tahoma"/>
                <w:sz w:val="18"/>
                <w:szCs w:val="18"/>
              </w:rPr>
              <w:t>Urządzenie musi posiadać min. 2GB pamięci DRAM i 2GB pamięci flash</w:t>
            </w:r>
          </w:p>
        </w:tc>
      </w:tr>
      <w:tr w:rsidR="00C932A6" w:rsidRPr="005B609A" w:rsidTr="00296165">
        <w:tc>
          <w:tcPr>
            <w:tcW w:w="660" w:type="dxa"/>
            <w:vAlign w:val="center"/>
          </w:tcPr>
          <w:p w:rsidR="00C932A6" w:rsidRPr="005B609A" w:rsidRDefault="00C932A6" w:rsidP="00296165">
            <w:pPr>
              <w:contextualSpacing/>
              <w:jc w:val="center"/>
              <w:textAlignment w:val="baseline"/>
              <w:rPr>
                <w:rFonts w:ascii="Tahoma" w:hAnsi="Tahoma" w:cs="Tahoma"/>
                <w:sz w:val="18"/>
                <w:szCs w:val="18"/>
              </w:rPr>
            </w:pPr>
            <w:bookmarkStart w:id="0" w:name="_Hlk63163824"/>
            <w:r w:rsidRPr="005B609A">
              <w:rPr>
                <w:rFonts w:ascii="Tahoma" w:hAnsi="Tahoma" w:cs="Tahoma"/>
                <w:sz w:val="18"/>
                <w:szCs w:val="18"/>
              </w:rPr>
              <w:t>7.</w:t>
            </w:r>
          </w:p>
        </w:tc>
        <w:tc>
          <w:tcPr>
            <w:tcW w:w="8266" w:type="dxa"/>
            <w:shd w:val="clear" w:color="auto" w:fill="auto"/>
          </w:tcPr>
          <w:p w:rsidR="00C932A6" w:rsidRPr="005B609A" w:rsidRDefault="00C932A6" w:rsidP="004B5C35">
            <w:pPr>
              <w:suppressAutoHyphens w:val="0"/>
              <w:spacing w:after="120"/>
              <w:contextualSpacing/>
              <w:jc w:val="both"/>
              <w:textAlignment w:val="baseline"/>
              <w:rPr>
                <w:rFonts w:ascii="Tahoma" w:hAnsi="Tahoma" w:cs="Tahoma"/>
                <w:sz w:val="18"/>
                <w:szCs w:val="18"/>
              </w:rPr>
            </w:pPr>
            <w:r w:rsidRPr="005B609A">
              <w:rPr>
                <w:rFonts w:ascii="Tahoma" w:hAnsi="Tahoma" w:cs="Tahoma"/>
                <w:sz w:val="18"/>
                <w:szCs w:val="18"/>
              </w:rPr>
              <w:t>MTBF (Mean Time Between Failure) nie może być mniejszy niż 300000 godzin.</w:t>
            </w:r>
          </w:p>
        </w:tc>
      </w:tr>
      <w:bookmarkEnd w:id="0"/>
      <w:tr w:rsidR="00C932A6" w:rsidRPr="005B609A" w:rsidTr="00296165">
        <w:tc>
          <w:tcPr>
            <w:tcW w:w="660" w:type="dxa"/>
            <w:vAlign w:val="center"/>
          </w:tcPr>
          <w:p w:rsidR="00C932A6" w:rsidRPr="005B609A" w:rsidRDefault="00C932A6" w:rsidP="00296165">
            <w:pPr>
              <w:contextualSpacing/>
              <w:jc w:val="center"/>
              <w:textAlignment w:val="baseline"/>
              <w:rPr>
                <w:rFonts w:ascii="Tahoma" w:hAnsi="Tahoma" w:cs="Tahoma"/>
                <w:sz w:val="18"/>
                <w:szCs w:val="18"/>
              </w:rPr>
            </w:pPr>
            <w:r w:rsidRPr="005B609A">
              <w:rPr>
                <w:rFonts w:ascii="Tahoma" w:hAnsi="Tahoma" w:cs="Tahoma"/>
                <w:sz w:val="18"/>
                <w:szCs w:val="18"/>
              </w:rPr>
              <w:t>8.</w:t>
            </w:r>
          </w:p>
        </w:tc>
        <w:tc>
          <w:tcPr>
            <w:tcW w:w="8266" w:type="dxa"/>
          </w:tcPr>
          <w:p w:rsidR="00C932A6" w:rsidRPr="005B609A" w:rsidRDefault="00C932A6" w:rsidP="004B5C35">
            <w:pPr>
              <w:suppressAutoHyphens w:val="0"/>
              <w:spacing w:after="120"/>
              <w:contextualSpacing/>
              <w:jc w:val="both"/>
              <w:textAlignment w:val="baseline"/>
              <w:rPr>
                <w:rFonts w:ascii="Tahoma" w:hAnsi="Tahoma" w:cs="Tahoma"/>
                <w:sz w:val="18"/>
                <w:szCs w:val="18"/>
              </w:rPr>
            </w:pPr>
            <w:r w:rsidRPr="005B609A">
              <w:rPr>
                <w:rFonts w:ascii="Tahoma" w:hAnsi="Tahoma" w:cs="Tahoma"/>
                <w:sz w:val="18"/>
                <w:szCs w:val="18"/>
              </w:rPr>
              <w:t>Urządzenie musi obsługiwać minimum 4000 VLAN 802.1q</w:t>
            </w:r>
          </w:p>
        </w:tc>
      </w:tr>
      <w:tr w:rsidR="00C932A6" w:rsidRPr="005B609A" w:rsidTr="00296165">
        <w:tc>
          <w:tcPr>
            <w:tcW w:w="660" w:type="dxa"/>
            <w:vAlign w:val="center"/>
          </w:tcPr>
          <w:p w:rsidR="00C932A6" w:rsidRPr="005B609A" w:rsidRDefault="00C932A6" w:rsidP="00296165">
            <w:pPr>
              <w:contextualSpacing/>
              <w:jc w:val="center"/>
              <w:textAlignment w:val="baseline"/>
              <w:rPr>
                <w:rFonts w:ascii="Tahoma" w:hAnsi="Tahoma" w:cs="Tahoma"/>
                <w:sz w:val="18"/>
                <w:szCs w:val="18"/>
              </w:rPr>
            </w:pPr>
            <w:r w:rsidRPr="005B609A">
              <w:rPr>
                <w:rFonts w:ascii="Tahoma" w:hAnsi="Tahoma" w:cs="Tahoma"/>
                <w:sz w:val="18"/>
                <w:szCs w:val="18"/>
              </w:rPr>
              <w:t>9.</w:t>
            </w:r>
          </w:p>
        </w:tc>
        <w:tc>
          <w:tcPr>
            <w:tcW w:w="8266" w:type="dxa"/>
          </w:tcPr>
          <w:p w:rsidR="00C932A6" w:rsidRPr="005B609A" w:rsidRDefault="00C932A6" w:rsidP="004B5C35">
            <w:pPr>
              <w:suppressAutoHyphens w:val="0"/>
              <w:spacing w:after="120"/>
              <w:contextualSpacing/>
              <w:jc w:val="both"/>
              <w:textAlignment w:val="baseline"/>
              <w:rPr>
                <w:rFonts w:ascii="Tahoma" w:hAnsi="Tahoma" w:cs="Tahoma"/>
                <w:sz w:val="18"/>
                <w:szCs w:val="18"/>
              </w:rPr>
            </w:pPr>
            <w:r w:rsidRPr="005B609A">
              <w:rPr>
                <w:rFonts w:ascii="Tahoma" w:hAnsi="Tahoma" w:cs="Tahoma"/>
                <w:sz w:val="18"/>
                <w:szCs w:val="18"/>
              </w:rPr>
              <w:t>Parametry fizyczne – możliwość montażu w szafie 19”, wielkość urządzenia nie może przekroczyć 1U</w:t>
            </w:r>
          </w:p>
        </w:tc>
      </w:tr>
      <w:tr w:rsidR="00C932A6" w:rsidRPr="005B609A" w:rsidTr="00296165">
        <w:tc>
          <w:tcPr>
            <w:tcW w:w="660" w:type="dxa"/>
            <w:vAlign w:val="center"/>
          </w:tcPr>
          <w:p w:rsidR="00C932A6" w:rsidRPr="005B609A" w:rsidRDefault="00C932A6" w:rsidP="00296165">
            <w:pPr>
              <w:contextualSpacing/>
              <w:jc w:val="center"/>
              <w:textAlignment w:val="baseline"/>
              <w:rPr>
                <w:rFonts w:ascii="Tahoma" w:hAnsi="Tahoma" w:cs="Tahoma"/>
                <w:sz w:val="18"/>
                <w:szCs w:val="18"/>
              </w:rPr>
            </w:pPr>
            <w:r w:rsidRPr="005B609A">
              <w:rPr>
                <w:rFonts w:ascii="Tahoma" w:hAnsi="Tahoma" w:cs="Tahoma"/>
                <w:sz w:val="18"/>
                <w:szCs w:val="18"/>
              </w:rPr>
              <w:t>10.</w:t>
            </w:r>
          </w:p>
        </w:tc>
        <w:tc>
          <w:tcPr>
            <w:tcW w:w="8266" w:type="dxa"/>
          </w:tcPr>
          <w:p w:rsidR="00C932A6" w:rsidRPr="005B609A" w:rsidRDefault="00C932A6" w:rsidP="004B5C35">
            <w:pPr>
              <w:suppressAutoHyphens w:val="0"/>
              <w:spacing w:after="120"/>
              <w:contextualSpacing/>
              <w:jc w:val="both"/>
              <w:rPr>
                <w:rFonts w:ascii="Tahoma" w:hAnsi="Tahoma" w:cs="Tahoma"/>
                <w:sz w:val="18"/>
                <w:szCs w:val="18"/>
              </w:rPr>
            </w:pPr>
            <w:r w:rsidRPr="005B609A">
              <w:rPr>
                <w:rFonts w:ascii="Tahoma" w:hAnsi="Tahoma" w:cs="Tahoma"/>
                <w:sz w:val="18"/>
                <w:szCs w:val="18"/>
              </w:rPr>
              <w:t>Urządzenie musi posiadać funkcjonalność łączenia w stosy z zachowaniem następującej parametrów:</w:t>
            </w:r>
          </w:p>
          <w:p w:rsidR="00C932A6" w:rsidRPr="005B609A" w:rsidRDefault="00C932A6" w:rsidP="004B5C35">
            <w:pPr>
              <w:suppressAutoHyphens w:val="0"/>
              <w:spacing w:after="120"/>
              <w:contextualSpacing/>
              <w:jc w:val="both"/>
              <w:rPr>
                <w:rFonts w:ascii="Tahoma" w:hAnsi="Tahoma" w:cs="Tahoma"/>
                <w:sz w:val="18"/>
                <w:szCs w:val="18"/>
              </w:rPr>
            </w:pPr>
            <w:r w:rsidRPr="005B609A">
              <w:rPr>
                <w:rFonts w:ascii="Tahoma" w:hAnsi="Tahoma" w:cs="Tahoma"/>
                <w:sz w:val="18"/>
                <w:szCs w:val="18"/>
              </w:rPr>
              <w:t>a) Minimum 12 jednostek w stosie</w:t>
            </w:r>
          </w:p>
          <w:p w:rsidR="00C932A6" w:rsidRPr="005B609A" w:rsidRDefault="00C932A6" w:rsidP="004B5C35">
            <w:pPr>
              <w:suppressAutoHyphens w:val="0"/>
              <w:spacing w:after="120"/>
              <w:contextualSpacing/>
              <w:jc w:val="both"/>
              <w:rPr>
                <w:rFonts w:ascii="Tahoma" w:hAnsi="Tahoma" w:cs="Tahoma"/>
                <w:sz w:val="18"/>
                <w:szCs w:val="18"/>
              </w:rPr>
            </w:pPr>
            <w:r w:rsidRPr="005B609A">
              <w:rPr>
                <w:rFonts w:ascii="Tahoma" w:hAnsi="Tahoma" w:cs="Tahoma"/>
                <w:sz w:val="18"/>
                <w:szCs w:val="18"/>
              </w:rPr>
              <w:t>b) Przełącznik musi się stackować z posiadanymi przez Zamawiającego przełącznikami ICX7250-48</w:t>
            </w:r>
          </w:p>
          <w:p w:rsidR="00C932A6" w:rsidRPr="005B609A" w:rsidRDefault="00C932A6" w:rsidP="004B5C35">
            <w:pPr>
              <w:suppressAutoHyphens w:val="0"/>
              <w:spacing w:after="120"/>
              <w:contextualSpacing/>
              <w:jc w:val="both"/>
              <w:rPr>
                <w:rFonts w:ascii="Tahoma" w:hAnsi="Tahoma" w:cs="Tahoma"/>
                <w:sz w:val="18"/>
                <w:szCs w:val="18"/>
              </w:rPr>
            </w:pPr>
            <w:r w:rsidRPr="005B609A">
              <w:rPr>
                <w:rFonts w:ascii="Tahoma" w:hAnsi="Tahoma" w:cs="Tahoma"/>
                <w:sz w:val="18"/>
                <w:szCs w:val="18"/>
              </w:rPr>
              <w:t>c) Stackowanie musi się odbywać po dedykowanych portach lub portach 10Gbps Ethernet</w:t>
            </w:r>
          </w:p>
          <w:p w:rsidR="00C932A6" w:rsidRPr="005B609A" w:rsidRDefault="00C932A6" w:rsidP="004B5C35">
            <w:pPr>
              <w:suppressAutoHyphens w:val="0"/>
              <w:spacing w:after="120"/>
              <w:contextualSpacing/>
              <w:jc w:val="both"/>
              <w:textAlignment w:val="baseline"/>
              <w:rPr>
                <w:rFonts w:ascii="Tahoma" w:hAnsi="Tahoma" w:cs="Tahoma"/>
                <w:sz w:val="18"/>
                <w:szCs w:val="18"/>
              </w:rPr>
            </w:pPr>
            <w:r w:rsidRPr="005B609A">
              <w:rPr>
                <w:rFonts w:ascii="Tahoma" w:hAnsi="Tahoma" w:cs="Tahoma"/>
                <w:sz w:val="18"/>
                <w:szCs w:val="18"/>
              </w:rPr>
              <w:t>d) Możliwość tworzenia połączeń EtherChannel LACP zgodnie z 802.3ad dla portów należących do różnych jednostek w stosie (Cross-stack EtherChannel) – minimum z 8 różnych przełączników w stosie jednocześnie</w:t>
            </w:r>
          </w:p>
        </w:tc>
      </w:tr>
      <w:tr w:rsidR="00C932A6" w:rsidRPr="005B609A" w:rsidTr="00296165">
        <w:trPr>
          <w:trHeight w:val="136"/>
        </w:trPr>
        <w:tc>
          <w:tcPr>
            <w:tcW w:w="660" w:type="dxa"/>
            <w:vAlign w:val="center"/>
          </w:tcPr>
          <w:p w:rsidR="00C932A6" w:rsidRPr="005B609A" w:rsidRDefault="00C932A6" w:rsidP="00296165">
            <w:pPr>
              <w:contextualSpacing/>
              <w:jc w:val="center"/>
              <w:textAlignment w:val="baseline"/>
              <w:rPr>
                <w:rFonts w:ascii="Tahoma" w:hAnsi="Tahoma" w:cs="Tahoma"/>
                <w:sz w:val="18"/>
                <w:szCs w:val="18"/>
              </w:rPr>
            </w:pPr>
            <w:r w:rsidRPr="005B609A">
              <w:rPr>
                <w:rFonts w:ascii="Tahoma" w:hAnsi="Tahoma" w:cs="Tahoma"/>
                <w:sz w:val="18"/>
                <w:szCs w:val="18"/>
              </w:rPr>
              <w:t>11.</w:t>
            </w:r>
          </w:p>
        </w:tc>
        <w:tc>
          <w:tcPr>
            <w:tcW w:w="8266" w:type="dxa"/>
          </w:tcPr>
          <w:p w:rsidR="00C932A6" w:rsidRPr="005B609A" w:rsidRDefault="00C932A6" w:rsidP="004B5C35">
            <w:pPr>
              <w:suppressAutoHyphens w:val="0"/>
              <w:spacing w:after="120"/>
              <w:contextualSpacing/>
              <w:jc w:val="both"/>
              <w:textAlignment w:val="baseline"/>
              <w:rPr>
                <w:rFonts w:ascii="Tahoma" w:hAnsi="Tahoma" w:cs="Tahoma"/>
                <w:sz w:val="18"/>
                <w:szCs w:val="18"/>
              </w:rPr>
            </w:pPr>
            <w:r w:rsidRPr="005B609A">
              <w:rPr>
                <w:rFonts w:ascii="Tahoma" w:hAnsi="Tahoma" w:cs="Tahoma"/>
                <w:sz w:val="18"/>
                <w:szCs w:val="18"/>
              </w:rPr>
              <w:t>Urządzenie musi umożliwiać obsługę ramek jumbo o wielkości min. 9216 bajtów (Jumbo Frames)</w:t>
            </w:r>
          </w:p>
        </w:tc>
      </w:tr>
      <w:tr w:rsidR="00C932A6" w:rsidRPr="005B609A" w:rsidTr="00296165">
        <w:tblPrEx>
          <w:tblLook w:val="04A0"/>
        </w:tblPrEx>
        <w:tc>
          <w:tcPr>
            <w:tcW w:w="660" w:type="dxa"/>
            <w:vAlign w:val="center"/>
          </w:tcPr>
          <w:p w:rsidR="00C932A6" w:rsidRPr="005B609A" w:rsidRDefault="00C932A6" w:rsidP="00296165">
            <w:pPr>
              <w:contextualSpacing/>
              <w:jc w:val="center"/>
              <w:textAlignment w:val="baseline"/>
              <w:rPr>
                <w:rFonts w:ascii="Tahoma" w:hAnsi="Tahoma" w:cs="Tahoma"/>
                <w:sz w:val="18"/>
                <w:szCs w:val="18"/>
              </w:rPr>
            </w:pPr>
            <w:r w:rsidRPr="005B609A">
              <w:rPr>
                <w:rFonts w:ascii="Tahoma" w:hAnsi="Tahoma" w:cs="Tahoma"/>
                <w:sz w:val="18"/>
                <w:szCs w:val="18"/>
              </w:rPr>
              <w:t>12.</w:t>
            </w:r>
          </w:p>
        </w:tc>
        <w:tc>
          <w:tcPr>
            <w:tcW w:w="8266" w:type="dxa"/>
          </w:tcPr>
          <w:p w:rsidR="00C932A6" w:rsidRPr="005B609A" w:rsidRDefault="00C932A6" w:rsidP="004B5C35">
            <w:pPr>
              <w:contextualSpacing/>
              <w:textAlignment w:val="baseline"/>
              <w:rPr>
                <w:rFonts w:ascii="Tahoma" w:hAnsi="Tahoma" w:cs="Tahoma"/>
                <w:sz w:val="18"/>
                <w:szCs w:val="18"/>
              </w:rPr>
            </w:pPr>
            <w:r w:rsidRPr="005B609A">
              <w:rPr>
                <w:rFonts w:ascii="Tahoma" w:hAnsi="Tahoma" w:cs="Tahoma"/>
                <w:sz w:val="18"/>
                <w:szCs w:val="18"/>
              </w:rPr>
              <w:t>Urządzenie musi wspierać mechanizm QinQ oraz Selective-QinQ. Funkcja QinQ musi umożliwiać tunelowanie ramek STP BPDU.</w:t>
            </w:r>
          </w:p>
        </w:tc>
      </w:tr>
      <w:tr w:rsidR="00C932A6" w:rsidRPr="005B609A" w:rsidTr="00296165">
        <w:tblPrEx>
          <w:tblLook w:val="04A0"/>
        </w:tblPrEx>
        <w:tc>
          <w:tcPr>
            <w:tcW w:w="660" w:type="dxa"/>
            <w:vAlign w:val="center"/>
          </w:tcPr>
          <w:p w:rsidR="00C932A6" w:rsidRPr="005B609A" w:rsidRDefault="00C932A6" w:rsidP="00296165">
            <w:pPr>
              <w:contextualSpacing/>
              <w:jc w:val="center"/>
              <w:textAlignment w:val="baseline"/>
              <w:rPr>
                <w:rFonts w:ascii="Tahoma" w:hAnsi="Tahoma" w:cs="Tahoma"/>
                <w:sz w:val="18"/>
                <w:szCs w:val="18"/>
              </w:rPr>
            </w:pPr>
            <w:r w:rsidRPr="005B609A">
              <w:rPr>
                <w:rFonts w:ascii="Tahoma" w:hAnsi="Tahoma" w:cs="Tahoma"/>
                <w:sz w:val="18"/>
                <w:szCs w:val="18"/>
              </w:rPr>
              <w:t>13.</w:t>
            </w:r>
          </w:p>
        </w:tc>
        <w:tc>
          <w:tcPr>
            <w:tcW w:w="8266" w:type="dxa"/>
          </w:tcPr>
          <w:p w:rsidR="00C932A6" w:rsidRPr="005B609A" w:rsidRDefault="009A508E" w:rsidP="004B5C35">
            <w:pPr>
              <w:contextualSpacing/>
              <w:textAlignment w:val="baseline"/>
              <w:rPr>
                <w:rFonts w:ascii="Tahoma" w:hAnsi="Tahoma" w:cs="Tahoma"/>
                <w:sz w:val="18"/>
                <w:szCs w:val="18"/>
              </w:rPr>
            </w:pPr>
            <w:r w:rsidRPr="005B609A">
              <w:rPr>
                <w:rFonts w:ascii="Tahoma" w:hAnsi="Tahoma" w:cs="Tahoma"/>
                <w:sz w:val="18"/>
                <w:szCs w:val="18"/>
              </w:rPr>
              <w:t>Wsparcie dla automatyzacji z wykorzystaniem ANSIBLE</w:t>
            </w:r>
          </w:p>
        </w:tc>
      </w:tr>
      <w:tr w:rsidR="00C932A6" w:rsidRPr="005B609A" w:rsidTr="00296165">
        <w:tblPrEx>
          <w:tblLook w:val="04A0"/>
        </w:tblPrEx>
        <w:tc>
          <w:tcPr>
            <w:tcW w:w="660" w:type="dxa"/>
            <w:vAlign w:val="center"/>
          </w:tcPr>
          <w:p w:rsidR="00C932A6" w:rsidRPr="005B609A" w:rsidRDefault="00C932A6" w:rsidP="00296165">
            <w:pPr>
              <w:contextualSpacing/>
              <w:jc w:val="center"/>
              <w:textAlignment w:val="baseline"/>
              <w:rPr>
                <w:rFonts w:ascii="Tahoma" w:hAnsi="Tahoma" w:cs="Tahoma"/>
                <w:sz w:val="18"/>
                <w:szCs w:val="18"/>
              </w:rPr>
            </w:pPr>
            <w:r w:rsidRPr="005B609A">
              <w:rPr>
                <w:rFonts w:ascii="Tahoma" w:hAnsi="Tahoma" w:cs="Tahoma"/>
                <w:sz w:val="18"/>
                <w:szCs w:val="18"/>
              </w:rPr>
              <w:t>14.</w:t>
            </w:r>
          </w:p>
        </w:tc>
        <w:tc>
          <w:tcPr>
            <w:tcW w:w="8266" w:type="dxa"/>
          </w:tcPr>
          <w:p w:rsidR="00C932A6" w:rsidRPr="005B609A" w:rsidRDefault="00EB736E" w:rsidP="004B5C35">
            <w:pPr>
              <w:contextualSpacing/>
              <w:textAlignment w:val="baseline"/>
              <w:rPr>
                <w:rFonts w:ascii="Tahoma" w:hAnsi="Tahoma" w:cs="Tahoma"/>
                <w:sz w:val="18"/>
                <w:szCs w:val="18"/>
              </w:rPr>
            </w:pPr>
            <w:r w:rsidRPr="005B609A">
              <w:rPr>
                <w:rFonts w:ascii="Tahoma" w:hAnsi="Tahoma" w:cs="Tahoma"/>
                <w:sz w:val="18"/>
                <w:szCs w:val="18"/>
              </w:rPr>
              <w:t>Zgodność ze standardem IEEE 802.3az EEE (Energy Efficient Ethernet)</w:t>
            </w:r>
          </w:p>
        </w:tc>
      </w:tr>
      <w:tr w:rsidR="00C932A6" w:rsidRPr="005B609A" w:rsidTr="00296165">
        <w:tblPrEx>
          <w:tblLook w:val="04A0"/>
        </w:tblPrEx>
        <w:tc>
          <w:tcPr>
            <w:tcW w:w="660" w:type="dxa"/>
            <w:vAlign w:val="center"/>
          </w:tcPr>
          <w:p w:rsidR="00C932A6" w:rsidRPr="005B609A" w:rsidRDefault="00C932A6" w:rsidP="00296165">
            <w:pPr>
              <w:contextualSpacing/>
              <w:jc w:val="center"/>
              <w:textAlignment w:val="baseline"/>
              <w:rPr>
                <w:rFonts w:ascii="Tahoma" w:hAnsi="Tahoma" w:cs="Tahoma"/>
                <w:sz w:val="18"/>
                <w:szCs w:val="18"/>
              </w:rPr>
            </w:pPr>
            <w:r w:rsidRPr="005B609A">
              <w:rPr>
                <w:rFonts w:ascii="Tahoma" w:hAnsi="Tahoma" w:cs="Tahoma"/>
                <w:sz w:val="18"/>
                <w:szCs w:val="18"/>
              </w:rPr>
              <w:t>15.</w:t>
            </w:r>
          </w:p>
        </w:tc>
        <w:tc>
          <w:tcPr>
            <w:tcW w:w="8266" w:type="dxa"/>
          </w:tcPr>
          <w:p w:rsidR="00C932A6" w:rsidRPr="005B609A" w:rsidRDefault="005A094E" w:rsidP="004B5C35">
            <w:pPr>
              <w:contextualSpacing/>
              <w:textAlignment w:val="baseline"/>
              <w:rPr>
                <w:rFonts w:ascii="Tahoma" w:hAnsi="Tahoma" w:cs="Tahoma"/>
                <w:sz w:val="18"/>
                <w:szCs w:val="18"/>
              </w:rPr>
            </w:pPr>
            <w:r w:rsidRPr="005B609A">
              <w:rPr>
                <w:rFonts w:ascii="Tahoma" w:hAnsi="Tahoma" w:cs="Tahoma"/>
                <w:sz w:val="18"/>
                <w:szCs w:val="18"/>
              </w:rPr>
              <w:t>Obsługa protokołu NTP lub SNTP</w:t>
            </w:r>
          </w:p>
        </w:tc>
      </w:tr>
    </w:tbl>
    <w:p w:rsidR="009401CF" w:rsidRPr="005B609A" w:rsidRDefault="009401CF" w:rsidP="002C34B1">
      <w:pPr>
        <w:jc w:val="center"/>
        <w:rPr>
          <w:rFonts w:ascii="Tahoma" w:hAnsi="Tahoma" w:cs="Tahoma"/>
          <w:sz w:val="18"/>
          <w:szCs w:val="18"/>
        </w:rPr>
      </w:pPr>
    </w:p>
    <w:p w:rsidR="000A1B76" w:rsidRPr="005B609A" w:rsidRDefault="009401CF" w:rsidP="009401CF">
      <w:pPr>
        <w:suppressAutoHyphens w:val="0"/>
        <w:rPr>
          <w:rFonts w:ascii="Tahoma" w:hAnsi="Tahoma" w:cs="Tahoma"/>
          <w:sz w:val="18"/>
          <w:szCs w:val="18"/>
        </w:rPr>
      </w:pPr>
      <w:r w:rsidRPr="005B609A">
        <w:rPr>
          <w:rFonts w:ascii="Tahoma" w:hAnsi="Tahoma" w:cs="Tahoma"/>
          <w:sz w:val="18"/>
          <w:szCs w:val="18"/>
        </w:rPr>
        <w:br w:type="page"/>
      </w:r>
    </w:p>
    <w:tbl>
      <w:tblPr>
        <w:tblStyle w:val="Tabela-Siatka"/>
        <w:tblpPr w:leftFromText="141" w:rightFromText="141" w:vertAnchor="text" w:tblpY="1"/>
        <w:tblOverlap w:val="never"/>
        <w:tblW w:w="8926" w:type="dxa"/>
        <w:tblLayout w:type="fixed"/>
        <w:tblLook w:val="04A0"/>
      </w:tblPr>
      <w:tblGrid>
        <w:gridCol w:w="660"/>
        <w:gridCol w:w="8266"/>
      </w:tblGrid>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lastRenderedPageBreak/>
              <w:t>16.</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Musi zapewniać routing statyczny oraz dynamiczny: OSPFv2, OSPFv3, RIP, RIP-NG oraz zapewniać obsługę protokołów First-Hop Redundancy – VRRP. Licencje dla tej funkcji nie są wymagane na tym etapie postępowania.</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17.</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Obsługa ruchu multicast - IGMPv3 i MLDv1/2 Snooping, PIM-SM, PIM-DM, PIM-SSM. Licencje dla tej funkcji nie są wymagane na tym etapie postępowania.</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18.</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Wsparcie dla protokołów Per-VLAN Spanning-Tree, IEEE 802.1w Rapid Spanning Tree oraz IEEE 802.1s Multi-Instance Spanning Tree. Wymagane wsparcie dla min. 250 instancji protokołu STP</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19.</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Wsparcie dla funkcji BPDU Guard oraz funkcji wykrywania i zabezpieczenia przed pętlami Layer 2.</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20.</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Wsparcie dla funkcji Auto-MDI/MDI-X na portach 10/100/1000</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21.</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Przełącznik musi posiadać możliwość uruchomienia funkcjonalności DHCP Server oraz wspierać funkcję DHCP Helper</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22.</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Obsługa połączeń link aggregation zgodnie z IEEE 802.3ad.</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23.</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Przełącznik musi obsługiwać następujące mechanizmy bezpieczeństwa:</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a) Minimum 3 poziomów dostępu administracyjnego</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b) Autoryzacja użytkowników w oparciu o IEEE 802.1X z możliwością dynamicznego przypisania użytkownika do określonej sieci VLAN i z możliwością dynamicznego przypisania listy ACL</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c) Obsługa funkcji Guest VLAN</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d) Obsługa Private VLAN</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e) Możliwość uwierzytelniania urządzeń na porcie w oparciu o adres MAC</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f) Możliwość uwierzytelniania użytkowników w oparciu o portal www (WebAuth)</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g) Przełącznik musi umożliwiać elastyczność w zakresie przeprowadzania mechanizmu uwierzytelniania na porcie. Wymagane jest zapewnienie jednoczesnego uruchomienia na porcie zarówno mechanizmów 802.1X, jak i uwierzytelniania per MAC</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h) Wymagana jest wsparcie dla możliwości uwierzytelniania wielu użytkowników na jednym porcie</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 xml:space="preserve">i) Możliwość obsługi żądań Change of Authorization (CoA) zgodnie z RFC 5176. </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j) Możliwość uzyskania dostępu do urządzenia przez SNMPv3, SSHv2, HTTPS z wykorzystaniem IPv4 i IPv6</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k) Obsługa list kontroli dostępu (ACL)</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l) Obsługa mechanizmów Port Security, DHCP Snooping, Dynamic ARP Inspection</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m) Obsługa funkcjonalności Voice VLAN umożliwiającej odseparowanie ruchu danych i ruchu głosowego</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n) Możliwość próbkowania i eksportu statystyk ruchu do zewnętrznych kolektorów danych (mechanizmy typu sFlow, NetFlow, J-Flow lub równoważne)</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24.</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Przełącznik musi wspierać następujące mechanizmy związane z zapewnieniem jakości usług w sieci:</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 xml:space="preserve">a) Klasyfikacja ruchu do klas różnej jakości obsługi (QoS) </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b) Implementacja co najmniej 8 kolejek sprzętowych na każdym porcie fizycznym dla obsługi ruchu o różnej klasie obsługi. Implementacja algorytmu WRR lub SRR lub innego podobnego dla obsługi tych kolejek</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c) Możliwość obsługi jednej z powyżej wspomnianych kolejek z bezwzględnym priorytetem w stosunku do innych (Strict Priority)</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d) Możliwość mapowania ruchu do określonych kolejek QoS z wykorzystaniem ACL</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e) Możliwość ograniczania pasma dostępnego na każdym porcie jednocześnie dla ruchu wychodzącego oraz przychodzącego za pomocą Shapingu lub Policingu.</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25.</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Obsługa protokołu LLDP i LLDP-MED lub równoważnych (np. CDP)</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26.</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Obsługa protokołu UDLD.</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27.</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Obsługa protokołu Ethernet Ring – Np. G.8032 lub REP lub inny równoważny.</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28.</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Obsługa protokołu MVRP lub innego równoważnego (np. VTP).</w:t>
            </w:r>
          </w:p>
        </w:tc>
      </w:tr>
    </w:tbl>
    <w:p w:rsidR="00C60F2F" w:rsidRPr="005B609A" w:rsidRDefault="00C60F2F" w:rsidP="002C34B1">
      <w:pPr>
        <w:jc w:val="center"/>
        <w:rPr>
          <w:rFonts w:ascii="Tahoma" w:hAnsi="Tahoma" w:cs="Tahoma"/>
          <w:b/>
          <w:bCs/>
          <w:sz w:val="18"/>
          <w:szCs w:val="18"/>
        </w:rPr>
      </w:pPr>
    </w:p>
    <w:p w:rsidR="00C60F2F" w:rsidRPr="005B609A" w:rsidRDefault="00C60F2F">
      <w:pPr>
        <w:suppressAutoHyphens w:val="0"/>
        <w:rPr>
          <w:rFonts w:ascii="Tahoma" w:hAnsi="Tahoma" w:cs="Tahoma"/>
          <w:b/>
          <w:bCs/>
          <w:sz w:val="18"/>
          <w:szCs w:val="18"/>
        </w:rPr>
      </w:pPr>
      <w:r w:rsidRPr="005B609A">
        <w:rPr>
          <w:rFonts w:ascii="Tahoma" w:hAnsi="Tahoma" w:cs="Tahoma"/>
          <w:b/>
          <w:bCs/>
          <w:sz w:val="18"/>
          <w:szCs w:val="18"/>
        </w:rPr>
        <w:br w:type="page"/>
      </w:r>
    </w:p>
    <w:tbl>
      <w:tblPr>
        <w:tblStyle w:val="Tabela-Siatka"/>
        <w:tblpPr w:leftFromText="141" w:rightFromText="141" w:vertAnchor="text" w:tblpY="1"/>
        <w:tblOverlap w:val="never"/>
        <w:tblW w:w="8926" w:type="dxa"/>
        <w:tblLayout w:type="fixed"/>
        <w:tblLook w:val="04A0"/>
      </w:tblPr>
      <w:tblGrid>
        <w:gridCol w:w="660"/>
        <w:gridCol w:w="8266"/>
      </w:tblGrid>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lastRenderedPageBreak/>
              <w:t>29.</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Obsługa protokołu OpenFlow 1.3 lub nowszego dla współpracy z kontrolerem OpenFlow.</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30.</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Obsługa VLAN Mapping.</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31.</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Wsparcie dla AAA z wykorzystaniem serwerów Tacacs oraz RADIUS.</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32.</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Urządzenie musi mieć możliwość zarządzania poprzez interfejs CLI z poziomu portu konsoli</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33.</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Urządzenie musi posiadać port konsoli szeregowej RJ 45 oraz port Ethernet typu out-of-band – do zarządzania</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34.</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Urządzenie musi być wyposażone w port USB umożliwiający podłączenie pamięci flash z konfiguracją i obrazem.</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35.</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Przełącznik musi umożliwiać zdalną obserwację ruchu na określonym porcie fizycznym, polegającą na kopiowaniu pojawiających się na nim ramek i przesyłaniu ich do zdalnego urządzenia monitorującego z wykorzystaniem funkcji ERSPAN (warstwa 3 ISO/OSI – tunelowanie kopii ruchu poprzez sieć IP) oraz RSPAN (warstwa 2 ISO/OSI – zdalny VLAN).</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36.</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Musi być obsługiwana funkcja dzięki której przełącznik wykona upload swojego pliku konfiguracyjnego na zdalny serwer TFTP/SCP po otrzymaniu odpowiednich pakietów SNMP Write. Musi istnieć dodatkowe zabezpieczenie tej funkcji hasłem (np. enable) lub możliwość definiowana listy zaufanych serwerów TFTP/SCP.</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37.</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Plik konfiguracyjny urządzenia musi być możliwy do edycji w trybie off-line (tzn. konieczna jest możliwość przeglądania i zmian konfiguracji w pliku tekstowym na dowolnym urządzeniu PC). Po zapisaniu konfiguracji w pamięci nieulotnej musi być możliwe uruchomienie urządzenia z nową konfiguracją.</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38.</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Wszystkie licencje dla opisanych funkcji muszą być</w:t>
            </w:r>
            <w:r w:rsidR="003B760A">
              <w:rPr>
                <w:rFonts w:ascii="Tahoma" w:hAnsi="Tahoma" w:cs="Tahoma"/>
                <w:sz w:val="18"/>
                <w:szCs w:val="18"/>
              </w:rPr>
              <w:t xml:space="preserve"> bezterminowe i</w:t>
            </w:r>
            <w:r w:rsidRPr="005B609A">
              <w:rPr>
                <w:rFonts w:ascii="Tahoma" w:hAnsi="Tahoma" w:cs="Tahoma"/>
                <w:sz w:val="18"/>
                <w:szCs w:val="18"/>
              </w:rPr>
              <w:t xml:space="preserve"> dostarczone razem z</w:t>
            </w:r>
            <w:r w:rsidR="003B760A">
              <w:rPr>
                <w:rFonts w:ascii="Tahoma" w:hAnsi="Tahoma" w:cs="Tahoma"/>
                <w:sz w:val="18"/>
                <w:szCs w:val="18"/>
              </w:rPr>
              <w:t> </w:t>
            </w:r>
            <w:r w:rsidRPr="005B609A">
              <w:rPr>
                <w:rFonts w:ascii="Tahoma" w:hAnsi="Tahoma" w:cs="Tahoma"/>
                <w:sz w:val="18"/>
                <w:szCs w:val="18"/>
              </w:rPr>
              <w:t>urządzeniami</w:t>
            </w:r>
          </w:p>
        </w:tc>
      </w:tr>
      <w:tr w:rsidR="00C60F2F" w:rsidRPr="005B609A" w:rsidTr="00296165">
        <w:tc>
          <w:tcPr>
            <w:tcW w:w="660" w:type="dxa"/>
            <w:vAlign w:val="center"/>
          </w:tcPr>
          <w:p w:rsidR="00C60F2F" w:rsidRPr="005B609A" w:rsidRDefault="00C60F2F" w:rsidP="00296165">
            <w:pPr>
              <w:contextualSpacing/>
              <w:jc w:val="center"/>
              <w:rPr>
                <w:rFonts w:ascii="Tahoma" w:hAnsi="Tahoma" w:cs="Tahoma"/>
                <w:sz w:val="18"/>
                <w:szCs w:val="18"/>
              </w:rPr>
            </w:pPr>
            <w:r w:rsidRPr="005B609A">
              <w:rPr>
                <w:rFonts w:ascii="Tahoma" w:hAnsi="Tahoma" w:cs="Tahoma"/>
                <w:sz w:val="18"/>
                <w:szCs w:val="18"/>
              </w:rPr>
              <w:t>39.</w:t>
            </w:r>
          </w:p>
        </w:tc>
        <w:tc>
          <w:tcPr>
            <w:tcW w:w="8266" w:type="dxa"/>
          </w:tcPr>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Wymagane jest, aby przełączniki posiadały min. gwarancję przez okres co najmniej 36 miesięcy z zachowaniem poniższych warunków:</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a) bezpłatne aktualizacje firmware</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 xml:space="preserve">b) </w:t>
            </w:r>
            <w:r w:rsidR="000B4569">
              <w:rPr>
                <w:rFonts w:ascii="Tahoma" w:hAnsi="Tahoma" w:cs="Tahoma"/>
                <w:sz w:val="18"/>
                <w:szCs w:val="18"/>
              </w:rPr>
              <w:t>w</w:t>
            </w:r>
            <w:r w:rsidRPr="005B609A">
              <w:rPr>
                <w:rFonts w:ascii="Tahoma" w:hAnsi="Tahoma" w:cs="Tahoma"/>
                <w:sz w:val="18"/>
                <w:szCs w:val="18"/>
              </w:rPr>
              <w:t>ymianę uszkodzonego komponentu z wysyłką następnego dnia roboczego od uznania awarii</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c) dostęp do bazy wiedzy producenta</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d) dostęp do TAC producenta (otwieranie tzw. case’ów) – brak limitu otwierania zgłoszeń w przypadku podejrzenia możliwości błędu w oprogramowaniu/hardware</w:t>
            </w:r>
          </w:p>
          <w:p w:rsidR="00C60F2F" w:rsidRPr="005B609A" w:rsidRDefault="00C60F2F" w:rsidP="005B609A">
            <w:pPr>
              <w:contextualSpacing/>
              <w:rPr>
                <w:rFonts w:ascii="Tahoma" w:hAnsi="Tahoma" w:cs="Tahoma"/>
                <w:sz w:val="18"/>
                <w:szCs w:val="18"/>
              </w:rPr>
            </w:pPr>
            <w:r w:rsidRPr="005B609A">
              <w:rPr>
                <w:rFonts w:ascii="Tahoma" w:hAnsi="Tahoma" w:cs="Tahoma"/>
                <w:sz w:val="18"/>
                <w:szCs w:val="18"/>
              </w:rPr>
              <w:t>e) realizacja serwisu w porozumieniu z producentem – tzw. Partner Support. Podmiot realizujący wsparcie musi posiadać certyfikat certyfikowanego partnera serwisowego wydany przez producenta urządzeń</w:t>
            </w:r>
            <w:r w:rsidR="003B760A">
              <w:rPr>
                <w:rFonts w:ascii="Tahoma" w:hAnsi="Tahoma" w:cs="Tahoma"/>
                <w:sz w:val="18"/>
                <w:szCs w:val="18"/>
              </w:rPr>
              <w:t>, który zostanie okazany na każde wezwanie zamawiajacego w terminie 3 dni od wezwania</w:t>
            </w:r>
            <w:r w:rsidRPr="005B609A">
              <w:rPr>
                <w:rFonts w:ascii="Tahoma" w:hAnsi="Tahoma" w:cs="Tahoma"/>
                <w:sz w:val="18"/>
                <w:szCs w:val="18"/>
              </w:rPr>
              <w:t>.</w:t>
            </w:r>
          </w:p>
          <w:p w:rsidR="00C60F2F" w:rsidRDefault="00C60F2F" w:rsidP="005B609A">
            <w:pPr>
              <w:contextualSpacing/>
              <w:rPr>
                <w:rFonts w:ascii="Tahoma" w:hAnsi="Tahoma" w:cs="Tahoma"/>
                <w:sz w:val="18"/>
                <w:szCs w:val="18"/>
              </w:rPr>
            </w:pPr>
            <w:r w:rsidRPr="005B609A">
              <w:rPr>
                <w:rFonts w:ascii="Tahoma" w:hAnsi="Tahoma" w:cs="Tahoma"/>
                <w:sz w:val="18"/>
                <w:szCs w:val="18"/>
              </w:rPr>
              <w:t>f) serwis musi być świadczony w języku Polskim</w:t>
            </w:r>
          </w:p>
          <w:p w:rsidR="00D45A7B" w:rsidRPr="005B609A" w:rsidRDefault="00D45A7B" w:rsidP="005B609A">
            <w:pPr>
              <w:contextualSpacing/>
              <w:rPr>
                <w:rFonts w:ascii="Tahoma" w:hAnsi="Tahoma" w:cs="Tahoma"/>
                <w:sz w:val="18"/>
                <w:szCs w:val="18"/>
              </w:rPr>
            </w:pPr>
            <w:r>
              <w:rPr>
                <w:rFonts w:ascii="Tahoma" w:hAnsi="Tahoma" w:cs="Tahoma"/>
                <w:sz w:val="18"/>
                <w:szCs w:val="18"/>
              </w:rPr>
              <w:t>g) szczegółowe warunki gwarancji zawiera wzór umowy stanowiący załącznik do SWZ</w:t>
            </w:r>
            <w:bookmarkStart w:id="1" w:name="_GoBack"/>
            <w:bookmarkEnd w:id="1"/>
          </w:p>
        </w:tc>
      </w:tr>
    </w:tbl>
    <w:p w:rsidR="00C60F2F" w:rsidRPr="00D45ADA" w:rsidRDefault="00C60F2F" w:rsidP="002C34B1">
      <w:pPr>
        <w:jc w:val="center"/>
        <w:rPr>
          <w:rFonts w:ascii="Tahoma" w:hAnsi="Tahoma" w:cs="Tahoma"/>
          <w:bCs/>
          <w:sz w:val="18"/>
          <w:szCs w:val="18"/>
        </w:rPr>
      </w:pPr>
    </w:p>
    <w:p w:rsidR="00C446F5" w:rsidRPr="00E23FF1" w:rsidRDefault="00C446F5" w:rsidP="00C446F5">
      <w:pPr>
        <w:rPr>
          <w:rFonts w:ascii="Tahoma" w:hAnsi="Tahoma" w:cs="Tahoma"/>
          <w:b/>
          <w:bCs/>
          <w:sz w:val="18"/>
          <w:szCs w:val="18"/>
          <w:u w:val="single"/>
        </w:rPr>
      </w:pPr>
      <w:r w:rsidRPr="00E23FF1">
        <w:rPr>
          <w:rFonts w:ascii="Tahoma" w:hAnsi="Tahoma" w:cs="Tahoma"/>
          <w:b/>
          <w:bCs/>
          <w:sz w:val="18"/>
          <w:szCs w:val="18"/>
          <w:u w:val="single"/>
        </w:rPr>
        <w:t xml:space="preserve">Kryteria </w:t>
      </w:r>
      <w:proofErr w:type="spellStart"/>
      <w:r w:rsidRPr="00E23FF1">
        <w:rPr>
          <w:rFonts w:ascii="Tahoma" w:hAnsi="Tahoma" w:cs="Tahoma"/>
          <w:b/>
          <w:bCs/>
          <w:sz w:val="18"/>
          <w:szCs w:val="18"/>
          <w:u w:val="single"/>
        </w:rPr>
        <w:t>pozacenowe</w:t>
      </w:r>
      <w:proofErr w:type="spellEnd"/>
      <w:r w:rsidRPr="00E23FF1">
        <w:rPr>
          <w:rFonts w:ascii="Tahoma" w:hAnsi="Tahoma" w:cs="Tahoma"/>
          <w:b/>
          <w:bCs/>
          <w:sz w:val="18"/>
          <w:szCs w:val="18"/>
          <w:u w:val="single"/>
        </w:rPr>
        <w:t>:</w:t>
      </w:r>
    </w:p>
    <w:tbl>
      <w:tblPr>
        <w:tblW w:w="9498" w:type="dxa"/>
        <w:tblInd w:w="70" w:type="dxa"/>
        <w:tblLayout w:type="fixed"/>
        <w:tblCellMar>
          <w:left w:w="70" w:type="dxa"/>
          <w:right w:w="70" w:type="dxa"/>
        </w:tblCellMar>
        <w:tblLook w:val="04A0"/>
      </w:tblPr>
      <w:tblGrid>
        <w:gridCol w:w="426"/>
        <w:gridCol w:w="2835"/>
        <w:gridCol w:w="2268"/>
        <w:gridCol w:w="3969"/>
      </w:tblGrid>
      <w:tr w:rsidR="00C446F5" w:rsidRPr="001C6F4E" w:rsidTr="00E23FF1">
        <w:trPr>
          <w:cantSplit/>
          <w:trHeight w:val="735"/>
        </w:trPr>
        <w:tc>
          <w:tcPr>
            <w:tcW w:w="426" w:type="dxa"/>
            <w:tcBorders>
              <w:top w:val="single" w:sz="4" w:space="0" w:color="auto"/>
              <w:left w:val="single" w:sz="4" w:space="0" w:color="auto"/>
              <w:bottom w:val="single" w:sz="4" w:space="0" w:color="auto"/>
              <w:right w:val="single" w:sz="4" w:space="0" w:color="auto"/>
            </w:tcBorders>
            <w:vAlign w:val="center"/>
            <w:hideMark/>
          </w:tcPr>
          <w:p w:rsidR="00C446F5" w:rsidRPr="009D527D" w:rsidRDefault="00C446F5" w:rsidP="005D4097">
            <w:pPr>
              <w:jc w:val="center"/>
              <w:rPr>
                <w:rFonts w:ascii="Tahoma" w:eastAsiaTheme="minorHAnsi" w:hAnsi="Tahoma" w:cs="Tahoma"/>
                <w:b/>
                <w:bCs/>
                <w:color w:val="000000"/>
                <w:sz w:val="16"/>
                <w:szCs w:val="16"/>
              </w:rPr>
            </w:pPr>
            <w:r w:rsidRPr="009D527D">
              <w:rPr>
                <w:rFonts w:ascii="Tahoma" w:hAnsi="Tahoma" w:cs="Tahoma"/>
                <w:b/>
                <w:bCs/>
                <w:color w:val="000000"/>
                <w:sz w:val="16"/>
                <w:szCs w:val="16"/>
              </w:rPr>
              <w:t>Lp.</w:t>
            </w:r>
          </w:p>
        </w:tc>
        <w:tc>
          <w:tcPr>
            <w:tcW w:w="2835" w:type="dxa"/>
            <w:tcBorders>
              <w:top w:val="single" w:sz="4" w:space="0" w:color="auto"/>
              <w:left w:val="nil"/>
              <w:bottom w:val="single" w:sz="4" w:space="0" w:color="auto"/>
              <w:right w:val="single" w:sz="4" w:space="0" w:color="auto"/>
            </w:tcBorders>
            <w:vAlign w:val="center"/>
            <w:hideMark/>
          </w:tcPr>
          <w:p w:rsidR="00C446F5" w:rsidRPr="009D527D" w:rsidRDefault="00C446F5" w:rsidP="005D4097">
            <w:pPr>
              <w:jc w:val="center"/>
              <w:rPr>
                <w:rFonts w:ascii="Tahoma" w:hAnsi="Tahoma" w:cs="Tahoma"/>
                <w:b/>
                <w:bCs/>
                <w:color w:val="000000"/>
                <w:sz w:val="16"/>
                <w:szCs w:val="16"/>
              </w:rPr>
            </w:pPr>
            <w:r w:rsidRPr="009D527D">
              <w:rPr>
                <w:rFonts w:ascii="Tahoma" w:hAnsi="Tahoma" w:cs="Tahoma"/>
                <w:b/>
                <w:bCs/>
                <w:sz w:val="16"/>
                <w:szCs w:val="16"/>
              </w:rPr>
              <w:t xml:space="preserve">Charakterystyka kryterium  </w:t>
            </w:r>
          </w:p>
        </w:tc>
        <w:tc>
          <w:tcPr>
            <w:tcW w:w="2268" w:type="dxa"/>
            <w:tcBorders>
              <w:top w:val="single" w:sz="4" w:space="0" w:color="auto"/>
              <w:left w:val="nil"/>
              <w:bottom w:val="single" w:sz="4" w:space="0" w:color="auto"/>
              <w:right w:val="single" w:sz="4" w:space="0" w:color="auto"/>
            </w:tcBorders>
            <w:vAlign w:val="center"/>
            <w:hideMark/>
          </w:tcPr>
          <w:p w:rsidR="00C446F5" w:rsidRPr="009D527D" w:rsidRDefault="00C446F5" w:rsidP="00E23FF1">
            <w:pPr>
              <w:spacing w:after="0" w:line="240" w:lineRule="auto"/>
              <w:jc w:val="center"/>
              <w:rPr>
                <w:rFonts w:ascii="Tahoma" w:hAnsi="Tahoma" w:cs="Tahoma"/>
                <w:b/>
                <w:bCs/>
                <w:color w:val="000000"/>
                <w:sz w:val="16"/>
                <w:szCs w:val="16"/>
              </w:rPr>
            </w:pPr>
            <w:r w:rsidRPr="009D527D">
              <w:rPr>
                <w:rFonts w:ascii="Tahoma" w:hAnsi="Tahoma" w:cs="Tahoma"/>
                <w:b/>
                <w:bCs/>
                <w:color w:val="000000"/>
                <w:sz w:val="16"/>
                <w:szCs w:val="16"/>
              </w:rPr>
              <w:t>Oferta Wykonawcy w kryterium</w:t>
            </w:r>
          </w:p>
          <w:p w:rsidR="00C446F5" w:rsidRPr="009D527D" w:rsidRDefault="00C446F5" w:rsidP="00E23FF1">
            <w:pPr>
              <w:spacing w:after="0" w:line="240" w:lineRule="auto"/>
              <w:jc w:val="center"/>
              <w:rPr>
                <w:rFonts w:ascii="Tahoma" w:hAnsi="Tahoma" w:cs="Tahoma"/>
                <w:bCs/>
                <w:color w:val="000000"/>
                <w:sz w:val="16"/>
                <w:szCs w:val="16"/>
              </w:rPr>
            </w:pPr>
            <w:r w:rsidRPr="009D527D">
              <w:rPr>
                <w:rFonts w:ascii="Tahoma" w:hAnsi="Tahoma" w:cs="Tahoma"/>
                <w:bCs/>
                <w:color w:val="000000"/>
                <w:sz w:val="16"/>
                <w:szCs w:val="16"/>
              </w:rPr>
              <w:t xml:space="preserve">/wypełnia </w:t>
            </w:r>
            <w:r w:rsidRPr="009D527D">
              <w:rPr>
                <w:rFonts w:ascii="Tahoma" w:hAnsi="Tahoma" w:cs="Tahoma"/>
                <w:bCs/>
                <w:color w:val="000000" w:themeColor="text1"/>
                <w:sz w:val="16"/>
                <w:szCs w:val="16"/>
              </w:rPr>
              <w:t>Wykonawca/</w:t>
            </w:r>
          </w:p>
        </w:tc>
        <w:tc>
          <w:tcPr>
            <w:tcW w:w="3969" w:type="dxa"/>
            <w:tcBorders>
              <w:top w:val="single" w:sz="4" w:space="0" w:color="auto"/>
              <w:left w:val="nil"/>
              <w:bottom w:val="single" w:sz="4" w:space="0" w:color="auto"/>
              <w:right w:val="single" w:sz="4" w:space="0" w:color="auto"/>
            </w:tcBorders>
            <w:vAlign w:val="center"/>
            <w:hideMark/>
          </w:tcPr>
          <w:p w:rsidR="00C446F5" w:rsidRPr="009D527D" w:rsidRDefault="00C446F5" w:rsidP="005D4097">
            <w:pPr>
              <w:jc w:val="center"/>
              <w:rPr>
                <w:rFonts w:ascii="Tahoma" w:hAnsi="Tahoma" w:cs="Tahoma"/>
                <w:b/>
                <w:bCs/>
                <w:color w:val="000000"/>
                <w:sz w:val="16"/>
                <w:szCs w:val="16"/>
              </w:rPr>
            </w:pPr>
            <w:r w:rsidRPr="009D527D">
              <w:rPr>
                <w:rFonts w:ascii="Tahoma" w:hAnsi="Tahoma" w:cs="Tahoma"/>
                <w:b/>
                <w:bCs/>
                <w:color w:val="000000"/>
                <w:sz w:val="16"/>
                <w:szCs w:val="16"/>
              </w:rPr>
              <w:t>Punktacja</w:t>
            </w:r>
          </w:p>
        </w:tc>
      </w:tr>
      <w:tr w:rsidR="00C446F5" w:rsidRPr="001C6F4E" w:rsidTr="00E23FF1">
        <w:trPr>
          <w:cantSplit/>
          <w:trHeight w:val="789"/>
        </w:trPr>
        <w:tc>
          <w:tcPr>
            <w:tcW w:w="426" w:type="dxa"/>
            <w:tcBorders>
              <w:top w:val="single" w:sz="4" w:space="0" w:color="auto"/>
              <w:left w:val="single" w:sz="4" w:space="0" w:color="auto"/>
              <w:bottom w:val="single" w:sz="4" w:space="0" w:color="auto"/>
              <w:right w:val="single" w:sz="4" w:space="0" w:color="auto"/>
            </w:tcBorders>
            <w:vAlign w:val="center"/>
          </w:tcPr>
          <w:p w:rsidR="00C446F5" w:rsidRPr="009D527D" w:rsidRDefault="00C446F5" w:rsidP="005D4097">
            <w:pPr>
              <w:jc w:val="center"/>
              <w:rPr>
                <w:rFonts w:ascii="Tahoma" w:hAnsi="Tahoma" w:cs="Tahoma"/>
                <w:b/>
                <w:bCs/>
                <w:color w:val="000000"/>
                <w:sz w:val="16"/>
                <w:szCs w:val="16"/>
              </w:rPr>
            </w:pPr>
            <w:r w:rsidRPr="009D527D">
              <w:rPr>
                <w:rFonts w:ascii="Tahoma" w:hAnsi="Tahoma" w:cs="Tahoma"/>
                <w:sz w:val="16"/>
                <w:szCs w:val="16"/>
              </w:rPr>
              <w:t>1.</w:t>
            </w:r>
          </w:p>
        </w:tc>
        <w:tc>
          <w:tcPr>
            <w:tcW w:w="2835" w:type="dxa"/>
            <w:tcBorders>
              <w:top w:val="single" w:sz="4" w:space="0" w:color="auto"/>
              <w:left w:val="nil"/>
              <w:bottom w:val="single" w:sz="4" w:space="0" w:color="auto"/>
              <w:right w:val="single" w:sz="4" w:space="0" w:color="auto"/>
            </w:tcBorders>
            <w:vAlign w:val="center"/>
          </w:tcPr>
          <w:p w:rsidR="00C446F5" w:rsidRPr="00DE4706" w:rsidRDefault="005D4097" w:rsidP="0087342A">
            <w:pPr>
              <w:jc w:val="center"/>
              <w:rPr>
                <w:rFonts w:ascii="Tahoma" w:hAnsi="Tahoma" w:cs="Tahoma"/>
                <w:bCs/>
                <w:color w:val="000000"/>
                <w:sz w:val="16"/>
                <w:szCs w:val="16"/>
              </w:rPr>
            </w:pPr>
            <w:r w:rsidRPr="00DE4706">
              <w:rPr>
                <w:rFonts w:ascii="Tahoma" w:hAnsi="Tahoma" w:cs="Tahoma"/>
                <w:bCs/>
                <w:color w:val="000000"/>
                <w:sz w:val="16"/>
                <w:szCs w:val="16"/>
              </w:rPr>
              <w:t>Termin udzielonej gwarancj</w:t>
            </w:r>
            <w:r w:rsidR="0087342A">
              <w:rPr>
                <w:rFonts w:ascii="Tahoma" w:hAnsi="Tahoma" w:cs="Tahoma"/>
                <w:bCs/>
                <w:color w:val="000000"/>
                <w:sz w:val="16"/>
                <w:szCs w:val="16"/>
              </w:rPr>
              <w:t>i</w:t>
            </w:r>
            <w:r w:rsidR="00EF0F72">
              <w:rPr>
                <w:rFonts w:ascii="Tahoma" w:hAnsi="Tahoma" w:cs="Tahoma"/>
                <w:bCs/>
                <w:color w:val="000000"/>
                <w:sz w:val="16"/>
                <w:szCs w:val="16"/>
              </w:rPr>
              <w:t xml:space="preserve"> </w:t>
            </w:r>
            <w:r w:rsidR="00F41040">
              <w:rPr>
                <w:rFonts w:ascii="Tahoma" w:hAnsi="Tahoma" w:cs="Tahoma"/>
                <w:bCs/>
                <w:color w:val="000000"/>
                <w:sz w:val="16"/>
                <w:szCs w:val="16"/>
              </w:rPr>
              <w:t>Wykonawcy</w:t>
            </w:r>
          </w:p>
        </w:tc>
        <w:tc>
          <w:tcPr>
            <w:tcW w:w="2268" w:type="dxa"/>
            <w:tcBorders>
              <w:top w:val="single" w:sz="4" w:space="0" w:color="auto"/>
              <w:left w:val="nil"/>
              <w:bottom w:val="single" w:sz="4" w:space="0" w:color="auto"/>
              <w:right w:val="single" w:sz="4" w:space="0" w:color="auto"/>
            </w:tcBorders>
            <w:vAlign w:val="center"/>
          </w:tcPr>
          <w:p w:rsidR="00C446F5" w:rsidRPr="00DE4706" w:rsidRDefault="00DE4706" w:rsidP="005D4097">
            <w:pPr>
              <w:spacing w:line="240" w:lineRule="auto"/>
              <w:jc w:val="center"/>
              <w:rPr>
                <w:rFonts w:ascii="Tahoma" w:hAnsi="Tahoma" w:cs="Tahoma"/>
                <w:bCs/>
                <w:color w:val="000000"/>
                <w:sz w:val="16"/>
                <w:szCs w:val="16"/>
              </w:rPr>
            </w:pPr>
            <w:r w:rsidRPr="00DE4706">
              <w:rPr>
                <w:rFonts w:ascii="Tahoma" w:hAnsi="Tahoma" w:cs="Tahoma"/>
                <w:bCs/>
                <w:color w:val="000000"/>
                <w:sz w:val="16"/>
                <w:szCs w:val="16"/>
              </w:rPr>
              <w:t>Podać</w:t>
            </w:r>
            <w:r w:rsidR="00342EBF">
              <w:rPr>
                <w:rFonts w:ascii="Tahoma" w:hAnsi="Tahoma" w:cs="Tahoma"/>
                <w:bCs/>
                <w:color w:val="000000"/>
                <w:sz w:val="16"/>
                <w:szCs w:val="16"/>
              </w:rPr>
              <w:t xml:space="preserve"> ……………..</w:t>
            </w:r>
          </w:p>
        </w:tc>
        <w:tc>
          <w:tcPr>
            <w:tcW w:w="3969" w:type="dxa"/>
            <w:tcBorders>
              <w:top w:val="single" w:sz="4" w:space="0" w:color="auto"/>
              <w:left w:val="nil"/>
              <w:bottom w:val="single" w:sz="4" w:space="0" w:color="auto"/>
              <w:right w:val="single" w:sz="4" w:space="0" w:color="auto"/>
            </w:tcBorders>
            <w:vAlign w:val="center"/>
          </w:tcPr>
          <w:p w:rsidR="005D4097" w:rsidRPr="0087342A" w:rsidRDefault="00C61A6E" w:rsidP="005D4097">
            <w:pPr>
              <w:pStyle w:val="Akapitzlist"/>
              <w:numPr>
                <w:ilvl w:val="0"/>
                <w:numId w:val="22"/>
              </w:numPr>
              <w:tabs>
                <w:tab w:val="left" w:pos="195"/>
              </w:tabs>
              <w:spacing w:after="40"/>
              <w:jc w:val="both"/>
              <w:rPr>
                <w:rFonts w:ascii="Tahoma" w:eastAsia="MS Mincho" w:hAnsi="Tahoma" w:cs="Tahoma"/>
                <w:color w:val="000000" w:themeColor="text1"/>
                <w:sz w:val="16"/>
                <w:szCs w:val="16"/>
              </w:rPr>
            </w:pPr>
            <w:r>
              <w:rPr>
                <w:rFonts w:ascii="Tahoma" w:hAnsi="Tahoma" w:cs="Tahoma"/>
                <w:color w:val="000000" w:themeColor="text1"/>
                <w:sz w:val="16"/>
                <w:szCs w:val="16"/>
              </w:rPr>
              <w:t>Gwarancja</w:t>
            </w:r>
            <w:r w:rsidR="0050395A">
              <w:rPr>
                <w:rFonts w:ascii="Tahoma" w:hAnsi="Tahoma" w:cs="Tahoma"/>
                <w:color w:val="000000" w:themeColor="text1"/>
                <w:sz w:val="16"/>
                <w:szCs w:val="16"/>
              </w:rPr>
              <w:t xml:space="preserve"> (</w:t>
            </w:r>
            <w:r w:rsidR="00397AE5">
              <w:rPr>
                <w:rFonts w:ascii="Tahoma" w:hAnsi="Tahoma" w:cs="Tahoma"/>
                <w:color w:val="000000" w:themeColor="text1"/>
                <w:sz w:val="16"/>
                <w:szCs w:val="16"/>
              </w:rPr>
              <w:t xml:space="preserve">zgodnie z </w:t>
            </w:r>
            <w:proofErr w:type="spellStart"/>
            <w:r w:rsidR="00397AE5">
              <w:rPr>
                <w:rFonts w:ascii="Tahoma" w:hAnsi="Tahoma" w:cs="Tahoma"/>
                <w:color w:val="000000" w:themeColor="text1"/>
                <w:sz w:val="16"/>
                <w:szCs w:val="16"/>
              </w:rPr>
              <w:t>pkt</w:t>
            </w:r>
            <w:proofErr w:type="spellEnd"/>
            <w:r w:rsidR="00397AE5">
              <w:rPr>
                <w:rFonts w:ascii="Tahoma" w:hAnsi="Tahoma" w:cs="Tahoma"/>
                <w:color w:val="000000" w:themeColor="text1"/>
                <w:sz w:val="16"/>
                <w:szCs w:val="16"/>
              </w:rPr>
              <w:t xml:space="preserve"> 39</w:t>
            </w:r>
            <w:r w:rsidR="0050395A">
              <w:rPr>
                <w:rFonts w:ascii="Tahoma" w:hAnsi="Tahoma" w:cs="Tahoma"/>
                <w:color w:val="000000" w:themeColor="text1"/>
                <w:sz w:val="16"/>
                <w:szCs w:val="16"/>
              </w:rPr>
              <w:t xml:space="preserve">) stanowi warunek konieczny i </w:t>
            </w:r>
            <w:r w:rsidR="005D4097" w:rsidRPr="0087342A">
              <w:rPr>
                <w:rFonts w:ascii="Tahoma" w:hAnsi="Tahoma" w:cs="Tahoma"/>
                <w:color w:val="000000" w:themeColor="text1"/>
                <w:sz w:val="16"/>
                <w:szCs w:val="16"/>
              </w:rPr>
              <w:t>nie jest punktowan</w:t>
            </w:r>
            <w:r w:rsidR="0050395A">
              <w:rPr>
                <w:rFonts w:ascii="Tahoma" w:hAnsi="Tahoma" w:cs="Tahoma"/>
                <w:color w:val="000000" w:themeColor="text1"/>
                <w:sz w:val="16"/>
                <w:szCs w:val="16"/>
              </w:rPr>
              <w:t>a</w:t>
            </w:r>
            <w:r w:rsidR="005D4097" w:rsidRPr="0087342A">
              <w:rPr>
                <w:rFonts w:ascii="Tahoma" w:hAnsi="Tahoma" w:cs="Tahoma"/>
                <w:color w:val="000000" w:themeColor="text1"/>
                <w:sz w:val="16"/>
                <w:szCs w:val="16"/>
              </w:rPr>
              <w:t>.</w:t>
            </w:r>
          </w:p>
          <w:p w:rsidR="00417A68" w:rsidRDefault="005D4097">
            <w:pPr>
              <w:pStyle w:val="Akapitzlist"/>
              <w:numPr>
                <w:ilvl w:val="0"/>
                <w:numId w:val="22"/>
              </w:numPr>
              <w:jc w:val="both"/>
              <w:rPr>
                <w:rFonts w:ascii="Tahoma" w:hAnsi="Tahoma" w:cs="Tahoma"/>
                <w:bCs/>
                <w:color w:val="000000"/>
                <w:sz w:val="16"/>
                <w:szCs w:val="16"/>
              </w:rPr>
            </w:pPr>
            <w:r w:rsidRPr="0087342A">
              <w:rPr>
                <w:rFonts w:ascii="Tahoma" w:eastAsia="MS Mincho" w:hAnsi="Tahoma" w:cs="Tahoma"/>
                <w:color w:val="000000" w:themeColor="text1"/>
                <w:sz w:val="16"/>
                <w:szCs w:val="16"/>
              </w:rPr>
              <w:t xml:space="preserve">Wykonawca uzyska </w:t>
            </w:r>
            <w:r w:rsidR="00EE3FF8" w:rsidRPr="0087342A">
              <w:rPr>
                <w:rFonts w:ascii="Tahoma" w:eastAsia="MS Mincho" w:hAnsi="Tahoma" w:cs="Tahoma"/>
                <w:color w:val="000000" w:themeColor="text1"/>
                <w:sz w:val="16"/>
                <w:szCs w:val="16"/>
              </w:rPr>
              <w:t>1</w:t>
            </w:r>
            <w:r w:rsidR="00EE3FF8">
              <w:rPr>
                <w:rFonts w:ascii="Tahoma" w:eastAsia="MS Mincho" w:hAnsi="Tahoma" w:cs="Tahoma"/>
                <w:color w:val="000000" w:themeColor="text1"/>
                <w:sz w:val="16"/>
                <w:szCs w:val="16"/>
              </w:rPr>
              <w:t>5</w:t>
            </w:r>
            <w:r w:rsidR="00EE3FF8" w:rsidRPr="0087342A">
              <w:rPr>
                <w:rFonts w:ascii="Tahoma" w:eastAsia="MS Mincho" w:hAnsi="Tahoma" w:cs="Tahoma"/>
                <w:color w:val="000000" w:themeColor="text1"/>
                <w:sz w:val="16"/>
                <w:szCs w:val="16"/>
              </w:rPr>
              <w:t xml:space="preserve"> </w:t>
            </w:r>
            <w:proofErr w:type="spellStart"/>
            <w:r w:rsidRPr="0087342A">
              <w:rPr>
                <w:rFonts w:ascii="Tahoma" w:eastAsia="MS Mincho" w:hAnsi="Tahoma" w:cs="Tahoma"/>
                <w:color w:val="000000" w:themeColor="text1"/>
                <w:sz w:val="16"/>
                <w:szCs w:val="16"/>
              </w:rPr>
              <w:t>pkt</w:t>
            </w:r>
            <w:proofErr w:type="spellEnd"/>
            <w:r w:rsidRPr="0087342A">
              <w:rPr>
                <w:rFonts w:ascii="Tahoma" w:eastAsia="MS Mincho" w:hAnsi="Tahoma" w:cs="Tahoma"/>
                <w:color w:val="000000" w:themeColor="text1"/>
                <w:sz w:val="16"/>
                <w:szCs w:val="16"/>
              </w:rPr>
              <w:t xml:space="preserve"> w kryterium w przypadku udzielenia </w:t>
            </w:r>
            <w:r w:rsidR="00397AE5">
              <w:rPr>
                <w:rFonts w:ascii="Tahoma" w:eastAsia="MS Mincho" w:hAnsi="Tahoma" w:cs="Tahoma"/>
                <w:color w:val="000000" w:themeColor="text1"/>
                <w:sz w:val="16"/>
                <w:szCs w:val="16"/>
              </w:rPr>
              <w:t>dodatkowego okresu</w:t>
            </w:r>
            <w:r w:rsidR="00C61A6E">
              <w:rPr>
                <w:rFonts w:ascii="Tahoma" w:eastAsia="MS Mincho" w:hAnsi="Tahoma" w:cs="Tahoma"/>
                <w:color w:val="000000" w:themeColor="text1"/>
                <w:sz w:val="16"/>
                <w:szCs w:val="16"/>
              </w:rPr>
              <w:t xml:space="preserve"> gwarancji</w:t>
            </w:r>
            <w:r w:rsidR="0050395A">
              <w:rPr>
                <w:rFonts w:ascii="Tahoma" w:eastAsia="MS Mincho" w:hAnsi="Tahoma" w:cs="Tahoma"/>
                <w:color w:val="000000" w:themeColor="text1"/>
                <w:sz w:val="16"/>
                <w:szCs w:val="16"/>
              </w:rPr>
              <w:t xml:space="preserve"> </w:t>
            </w:r>
            <w:r w:rsidR="00BF6888">
              <w:rPr>
                <w:rFonts w:ascii="Tahoma" w:eastAsia="MS Mincho" w:hAnsi="Tahoma" w:cs="Tahoma"/>
                <w:color w:val="000000" w:themeColor="text1"/>
                <w:sz w:val="16"/>
                <w:szCs w:val="16"/>
              </w:rPr>
              <w:t xml:space="preserve">(na zasadach gwarancji wskazanych w </w:t>
            </w:r>
            <w:proofErr w:type="spellStart"/>
            <w:r w:rsidR="00BF6888">
              <w:rPr>
                <w:rFonts w:ascii="Tahoma" w:eastAsia="MS Mincho" w:hAnsi="Tahoma" w:cs="Tahoma"/>
                <w:color w:val="000000" w:themeColor="text1"/>
                <w:sz w:val="16"/>
                <w:szCs w:val="16"/>
              </w:rPr>
              <w:t>pkt</w:t>
            </w:r>
            <w:proofErr w:type="spellEnd"/>
            <w:r w:rsidR="00BF6888">
              <w:rPr>
                <w:rFonts w:ascii="Tahoma" w:eastAsia="MS Mincho" w:hAnsi="Tahoma" w:cs="Tahoma"/>
                <w:color w:val="000000" w:themeColor="text1"/>
                <w:sz w:val="16"/>
                <w:szCs w:val="16"/>
              </w:rPr>
              <w:t xml:space="preserve"> 39) przez łączny okres gwarancji 5 lat.</w:t>
            </w:r>
            <w:r w:rsidR="0050395A">
              <w:rPr>
                <w:rFonts w:ascii="Tahoma" w:eastAsia="MS Mincho" w:hAnsi="Tahoma" w:cs="Tahoma"/>
                <w:color w:val="000000" w:themeColor="text1"/>
                <w:sz w:val="16"/>
                <w:szCs w:val="16"/>
              </w:rPr>
              <w:t xml:space="preserve"> </w:t>
            </w:r>
            <w:r w:rsidR="00C61A6E">
              <w:rPr>
                <w:rFonts w:ascii="Tahoma" w:eastAsia="MS Mincho" w:hAnsi="Tahoma" w:cs="Tahoma"/>
                <w:color w:val="000000" w:themeColor="text1"/>
                <w:sz w:val="16"/>
                <w:szCs w:val="16"/>
              </w:rPr>
              <w:t xml:space="preserve"> </w:t>
            </w:r>
          </w:p>
        </w:tc>
      </w:tr>
      <w:tr w:rsidR="00EE3FF8" w:rsidRPr="001C6F4E" w:rsidTr="00E23FF1">
        <w:trPr>
          <w:cantSplit/>
          <w:trHeight w:val="789"/>
        </w:trPr>
        <w:tc>
          <w:tcPr>
            <w:tcW w:w="426" w:type="dxa"/>
            <w:tcBorders>
              <w:top w:val="single" w:sz="4" w:space="0" w:color="auto"/>
              <w:left w:val="single" w:sz="4" w:space="0" w:color="auto"/>
              <w:bottom w:val="single" w:sz="4" w:space="0" w:color="auto"/>
              <w:right w:val="single" w:sz="4" w:space="0" w:color="auto"/>
            </w:tcBorders>
            <w:vAlign w:val="center"/>
          </w:tcPr>
          <w:p w:rsidR="00EE3FF8" w:rsidRPr="009D527D" w:rsidRDefault="00EE3FF8" w:rsidP="005D4097">
            <w:pPr>
              <w:jc w:val="center"/>
              <w:rPr>
                <w:rFonts w:ascii="Tahoma" w:hAnsi="Tahoma" w:cs="Tahoma"/>
                <w:b/>
                <w:bCs/>
                <w:color w:val="000000"/>
                <w:sz w:val="16"/>
                <w:szCs w:val="16"/>
              </w:rPr>
            </w:pPr>
            <w:r w:rsidRPr="009D527D">
              <w:rPr>
                <w:rFonts w:ascii="Tahoma" w:hAnsi="Tahoma" w:cs="Tahoma"/>
                <w:sz w:val="16"/>
                <w:szCs w:val="16"/>
              </w:rPr>
              <w:t>2.</w:t>
            </w:r>
          </w:p>
        </w:tc>
        <w:tc>
          <w:tcPr>
            <w:tcW w:w="2835" w:type="dxa"/>
            <w:tcBorders>
              <w:top w:val="single" w:sz="4" w:space="0" w:color="auto"/>
              <w:left w:val="nil"/>
              <w:bottom w:val="single" w:sz="4" w:space="0" w:color="auto"/>
              <w:right w:val="single" w:sz="4" w:space="0" w:color="auto"/>
            </w:tcBorders>
            <w:vAlign w:val="center"/>
          </w:tcPr>
          <w:p w:rsidR="00EE3FF8" w:rsidRPr="00DE4706" w:rsidRDefault="00EE3FF8" w:rsidP="005D4097">
            <w:pPr>
              <w:jc w:val="center"/>
              <w:rPr>
                <w:rFonts w:ascii="Tahoma" w:hAnsi="Tahoma" w:cs="Tahoma"/>
                <w:bCs/>
                <w:color w:val="000000"/>
                <w:sz w:val="16"/>
                <w:szCs w:val="16"/>
              </w:rPr>
            </w:pPr>
            <w:r w:rsidRPr="00DE4706">
              <w:rPr>
                <w:rFonts w:ascii="Tahoma" w:hAnsi="Tahoma" w:cs="Tahoma"/>
                <w:bCs/>
                <w:color w:val="000000"/>
                <w:sz w:val="16"/>
                <w:szCs w:val="16"/>
              </w:rPr>
              <w:t>Czas dostawy</w:t>
            </w:r>
          </w:p>
        </w:tc>
        <w:tc>
          <w:tcPr>
            <w:tcW w:w="2268" w:type="dxa"/>
            <w:tcBorders>
              <w:top w:val="single" w:sz="4" w:space="0" w:color="auto"/>
              <w:left w:val="nil"/>
              <w:bottom w:val="single" w:sz="4" w:space="0" w:color="auto"/>
              <w:right w:val="single" w:sz="4" w:space="0" w:color="auto"/>
            </w:tcBorders>
            <w:vAlign w:val="center"/>
          </w:tcPr>
          <w:p w:rsidR="00EE3FF8" w:rsidRPr="00DE4706" w:rsidRDefault="00EE3FF8" w:rsidP="005D4097">
            <w:pPr>
              <w:spacing w:line="240" w:lineRule="auto"/>
              <w:jc w:val="center"/>
              <w:rPr>
                <w:rFonts w:ascii="Tahoma" w:hAnsi="Tahoma" w:cs="Tahoma"/>
                <w:bCs/>
                <w:color w:val="000000"/>
                <w:sz w:val="16"/>
                <w:szCs w:val="16"/>
              </w:rPr>
            </w:pPr>
            <w:r w:rsidRPr="00DE4706">
              <w:rPr>
                <w:rFonts w:ascii="Tahoma" w:hAnsi="Tahoma" w:cs="Tahoma"/>
                <w:bCs/>
                <w:color w:val="000000"/>
                <w:sz w:val="16"/>
                <w:szCs w:val="16"/>
              </w:rPr>
              <w:t>Podać</w:t>
            </w:r>
            <w:r>
              <w:rPr>
                <w:rFonts w:ascii="Tahoma" w:hAnsi="Tahoma" w:cs="Tahoma"/>
                <w:bCs/>
                <w:color w:val="000000"/>
                <w:sz w:val="16"/>
                <w:szCs w:val="16"/>
              </w:rPr>
              <w:t xml:space="preserve"> ……………</w:t>
            </w:r>
          </w:p>
        </w:tc>
        <w:tc>
          <w:tcPr>
            <w:tcW w:w="3969" w:type="dxa"/>
            <w:tcBorders>
              <w:top w:val="single" w:sz="4" w:space="0" w:color="auto"/>
              <w:left w:val="nil"/>
              <w:bottom w:val="single" w:sz="4" w:space="0" w:color="auto"/>
              <w:right w:val="single" w:sz="4" w:space="0" w:color="auto"/>
            </w:tcBorders>
            <w:vAlign w:val="center"/>
          </w:tcPr>
          <w:p w:rsidR="00EE3FF8" w:rsidRPr="00DE4706" w:rsidRDefault="00EE3FF8" w:rsidP="00EE3FF8">
            <w:pPr>
              <w:pStyle w:val="Akapitzlist"/>
              <w:numPr>
                <w:ilvl w:val="0"/>
                <w:numId w:val="23"/>
              </w:numPr>
              <w:spacing w:after="0"/>
              <w:jc w:val="both"/>
              <w:rPr>
                <w:rFonts w:ascii="Tahoma" w:hAnsi="Tahoma" w:cs="Tahoma"/>
                <w:bCs/>
                <w:color w:val="000000"/>
                <w:sz w:val="16"/>
                <w:szCs w:val="16"/>
              </w:rPr>
            </w:pPr>
            <w:r w:rsidRPr="00DE4706">
              <w:rPr>
                <w:rFonts w:ascii="Tahoma" w:hAnsi="Tahoma" w:cs="Tahoma"/>
                <w:bCs/>
                <w:color w:val="000000"/>
                <w:sz w:val="16"/>
                <w:szCs w:val="16"/>
              </w:rPr>
              <w:t xml:space="preserve">do </w:t>
            </w:r>
            <w:r>
              <w:rPr>
                <w:rFonts w:ascii="Tahoma" w:hAnsi="Tahoma" w:cs="Tahoma"/>
                <w:bCs/>
                <w:color w:val="000000"/>
                <w:sz w:val="16"/>
                <w:szCs w:val="16"/>
              </w:rPr>
              <w:t>2</w:t>
            </w:r>
            <w:r w:rsidRPr="00DE4706">
              <w:rPr>
                <w:rFonts w:ascii="Tahoma" w:hAnsi="Tahoma" w:cs="Tahoma"/>
                <w:bCs/>
                <w:color w:val="000000"/>
                <w:sz w:val="16"/>
                <w:szCs w:val="16"/>
              </w:rPr>
              <w:t xml:space="preserve"> </w:t>
            </w:r>
            <w:r>
              <w:rPr>
                <w:rFonts w:ascii="Tahoma" w:hAnsi="Tahoma" w:cs="Tahoma"/>
                <w:bCs/>
                <w:color w:val="000000"/>
                <w:sz w:val="16"/>
                <w:szCs w:val="16"/>
              </w:rPr>
              <w:t>tygodni</w:t>
            </w:r>
            <w:r w:rsidRPr="00DE4706">
              <w:rPr>
                <w:rFonts w:ascii="Tahoma" w:hAnsi="Tahoma" w:cs="Tahoma"/>
                <w:bCs/>
                <w:color w:val="000000"/>
                <w:sz w:val="16"/>
                <w:szCs w:val="16"/>
              </w:rPr>
              <w:t xml:space="preserve"> od dnia podpisania umowy – 2</w:t>
            </w:r>
            <w:r>
              <w:rPr>
                <w:rFonts w:ascii="Tahoma" w:hAnsi="Tahoma" w:cs="Tahoma"/>
                <w:bCs/>
                <w:color w:val="000000"/>
                <w:sz w:val="16"/>
                <w:szCs w:val="16"/>
              </w:rPr>
              <w:t>5</w:t>
            </w:r>
            <w:r w:rsidRPr="00DE4706">
              <w:rPr>
                <w:rFonts w:ascii="Tahoma" w:hAnsi="Tahoma" w:cs="Tahoma"/>
                <w:bCs/>
                <w:color w:val="000000"/>
                <w:sz w:val="16"/>
                <w:szCs w:val="16"/>
              </w:rPr>
              <w:t xml:space="preserve"> </w:t>
            </w:r>
            <w:proofErr w:type="spellStart"/>
            <w:r w:rsidRPr="00DE4706">
              <w:rPr>
                <w:rFonts w:ascii="Tahoma" w:hAnsi="Tahoma" w:cs="Tahoma"/>
                <w:bCs/>
                <w:color w:val="000000"/>
                <w:sz w:val="16"/>
                <w:szCs w:val="16"/>
              </w:rPr>
              <w:t>pkt</w:t>
            </w:r>
            <w:proofErr w:type="spellEnd"/>
          </w:p>
          <w:p w:rsidR="00EE3FF8" w:rsidRPr="00DE4706" w:rsidRDefault="00EE3FF8" w:rsidP="00EE3FF8">
            <w:pPr>
              <w:pStyle w:val="Akapitzlist"/>
              <w:numPr>
                <w:ilvl w:val="0"/>
                <w:numId w:val="23"/>
              </w:numPr>
              <w:spacing w:after="0"/>
              <w:jc w:val="both"/>
              <w:rPr>
                <w:rFonts w:ascii="Tahoma" w:hAnsi="Tahoma" w:cs="Tahoma"/>
                <w:bCs/>
                <w:color w:val="000000"/>
                <w:sz w:val="16"/>
                <w:szCs w:val="16"/>
              </w:rPr>
            </w:pPr>
            <w:r>
              <w:rPr>
                <w:rFonts w:ascii="Tahoma" w:hAnsi="Tahoma" w:cs="Tahoma"/>
                <w:bCs/>
                <w:color w:val="000000"/>
                <w:sz w:val="16"/>
                <w:szCs w:val="16"/>
              </w:rPr>
              <w:t>do 1</w:t>
            </w:r>
            <w:r w:rsidRPr="00DE4706">
              <w:rPr>
                <w:rFonts w:ascii="Tahoma" w:hAnsi="Tahoma" w:cs="Tahoma"/>
                <w:bCs/>
                <w:color w:val="000000"/>
                <w:sz w:val="16"/>
                <w:szCs w:val="16"/>
              </w:rPr>
              <w:t xml:space="preserve"> miesi</w:t>
            </w:r>
            <w:r>
              <w:rPr>
                <w:rFonts w:ascii="Tahoma" w:hAnsi="Tahoma" w:cs="Tahoma"/>
                <w:bCs/>
                <w:color w:val="000000"/>
                <w:sz w:val="16"/>
                <w:szCs w:val="16"/>
              </w:rPr>
              <w:t>ąca</w:t>
            </w:r>
            <w:r w:rsidRPr="00DE4706">
              <w:rPr>
                <w:rFonts w:ascii="Tahoma" w:hAnsi="Tahoma" w:cs="Tahoma"/>
                <w:bCs/>
                <w:color w:val="000000"/>
                <w:sz w:val="16"/>
                <w:szCs w:val="16"/>
              </w:rPr>
              <w:t xml:space="preserve"> od dnia podpisania umowy – 1</w:t>
            </w:r>
            <w:r>
              <w:rPr>
                <w:rFonts w:ascii="Tahoma" w:hAnsi="Tahoma" w:cs="Tahoma"/>
                <w:bCs/>
                <w:color w:val="000000"/>
                <w:sz w:val="16"/>
                <w:szCs w:val="16"/>
              </w:rPr>
              <w:t>5</w:t>
            </w:r>
            <w:r w:rsidRPr="00DE4706">
              <w:rPr>
                <w:rFonts w:ascii="Tahoma" w:hAnsi="Tahoma" w:cs="Tahoma"/>
                <w:bCs/>
                <w:color w:val="000000"/>
                <w:sz w:val="16"/>
                <w:szCs w:val="16"/>
              </w:rPr>
              <w:t xml:space="preserve"> </w:t>
            </w:r>
            <w:proofErr w:type="spellStart"/>
            <w:r w:rsidRPr="00DE4706">
              <w:rPr>
                <w:rFonts w:ascii="Tahoma" w:hAnsi="Tahoma" w:cs="Tahoma"/>
                <w:bCs/>
                <w:color w:val="000000"/>
                <w:sz w:val="16"/>
                <w:szCs w:val="16"/>
              </w:rPr>
              <w:t>pkt</w:t>
            </w:r>
            <w:proofErr w:type="spellEnd"/>
          </w:p>
          <w:p w:rsidR="00EE3FF8" w:rsidRPr="00DE4706" w:rsidRDefault="00EE3FF8" w:rsidP="00FE4187">
            <w:pPr>
              <w:pStyle w:val="Akapitzlist"/>
              <w:numPr>
                <w:ilvl w:val="0"/>
                <w:numId w:val="23"/>
              </w:numPr>
              <w:spacing w:after="0"/>
              <w:jc w:val="both"/>
              <w:rPr>
                <w:rFonts w:ascii="Tahoma" w:hAnsi="Tahoma" w:cs="Tahoma"/>
                <w:bCs/>
                <w:color w:val="000000"/>
                <w:sz w:val="16"/>
                <w:szCs w:val="16"/>
              </w:rPr>
            </w:pPr>
            <w:r>
              <w:rPr>
                <w:rFonts w:ascii="Tahoma" w:hAnsi="Tahoma" w:cs="Tahoma"/>
                <w:bCs/>
                <w:color w:val="000000"/>
                <w:sz w:val="16"/>
                <w:szCs w:val="16"/>
              </w:rPr>
              <w:t>powyżej 1</w:t>
            </w:r>
            <w:r w:rsidRPr="00DE4706">
              <w:rPr>
                <w:rFonts w:ascii="Tahoma" w:hAnsi="Tahoma" w:cs="Tahoma"/>
                <w:bCs/>
                <w:color w:val="000000"/>
                <w:sz w:val="16"/>
                <w:szCs w:val="16"/>
              </w:rPr>
              <w:t xml:space="preserve"> miesi</w:t>
            </w:r>
            <w:r>
              <w:rPr>
                <w:rFonts w:ascii="Tahoma" w:hAnsi="Tahoma" w:cs="Tahoma"/>
                <w:bCs/>
                <w:color w:val="000000"/>
                <w:sz w:val="16"/>
                <w:szCs w:val="16"/>
              </w:rPr>
              <w:t>ąca</w:t>
            </w:r>
            <w:r w:rsidRPr="00DE4706">
              <w:rPr>
                <w:rFonts w:ascii="Tahoma" w:hAnsi="Tahoma" w:cs="Tahoma"/>
                <w:bCs/>
                <w:color w:val="000000"/>
                <w:sz w:val="16"/>
                <w:szCs w:val="16"/>
              </w:rPr>
              <w:t xml:space="preserve"> ale nie dłużej niż </w:t>
            </w:r>
            <w:r>
              <w:rPr>
                <w:rFonts w:ascii="Tahoma" w:hAnsi="Tahoma" w:cs="Tahoma"/>
                <w:bCs/>
                <w:color w:val="000000"/>
                <w:sz w:val="16"/>
                <w:szCs w:val="16"/>
              </w:rPr>
              <w:t>3 miesiące</w:t>
            </w:r>
            <w:r w:rsidRPr="00DE4706">
              <w:rPr>
                <w:rFonts w:ascii="Tahoma" w:hAnsi="Tahoma" w:cs="Tahoma"/>
                <w:bCs/>
                <w:color w:val="000000"/>
                <w:sz w:val="16"/>
                <w:szCs w:val="16"/>
              </w:rPr>
              <w:t xml:space="preserve"> – 0 </w:t>
            </w:r>
            <w:proofErr w:type="spellStart"/>
            <w:r w:rsidRPr="00DE4706">
              <w:rPr>
                <w:rFonts w:ascii="Tahoma" w:hAnsi="Tahoma" w:cs="Tahoma"/>
                <w:bCs/>
                <w:color w:val="000000"/>
                <w:sz w:val="16"/>
                <w:szCs w:val="16"/>
              </w:rPr>
              <w:t>pkt</w:t>
            </w:r>
            <w:proofErr w:type="spellEnd"/>
          </w:p>
        </w:tc>
      </w:tr>
    </w:tbl>
    <w:p w:rsidR="00C446F5" w:rsidRPr="005B609A" w:rsidRDefault="00C446F5" w:rsidP="00147054">
      <w:pPr>
        <w:rPr>
          <w:rFonts w:ascii="Tahoma" w:hAnsi="Tahoma" w:cs="Tahoma"/>
          <w:b/>
          <w:bCs/>
          <w:sz w:val="18"/>
          <w:szCs w:val="18"/>
        </w:rPr>
      </w:pPr>
    </w:p>
    <w:sectPr w:rsidR="00C446F5" w:rsidRPr="005B609A" w:rsidSect="009D527D">
      <w:headerReference w:type="default" r:id="rId7"/>
      <w:pgSz w:w="11906" w:h="16838"/>
      <w:pgMar w:top="1135" w:right="1417" w:bottom="1417" w:left="1417" w:header="708" w:footer="708" w:gutter="0"/>
      <w:cols w:space="708"/>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EDEBA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776" w:rsidRDefault="00AD4776">
      <w:pPr>
        <w:spacing w:after="0" w:line="240" w:lineRule="auto"/>
      </w:pPr>
      <w:r>
        <w:separator/>
      </w:r>
    </w:p>
  </w:endnote>
  <w:endnote w:type="continuationSeparator" w:id="0">
    <w:p w:rsidR="00AD4776" w:rsidRDefault="00AD47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776" w:rsidRDefault="00AD4776">
      <w:pPr>
        <w:spacing w:after="0" w:line="240" w:lineRule="auto"/>
      </w:pPr>
      <w:r>
        <w:rPr>
          <w:color w:val="000000"/>
        </w:rPr>
        <w:separator/>
      </w:r>
    </w:p>
  </w:footnote>
  <w:footnote w:type="continuationSeparator" w:id="0">
    <w:p w:rsidR="00AD4776" w:rsidRDefault="00AD47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4FB" w:rsidRPr="005B609A" w:rsidRDefault="003834FB" w:rsidP="005B609A">
    <w:pPr>
      <w:rPr>
        <w:rFonts w:ascii="Tahoma" w:hAnsi="Tahoma" w:cs="Tahoma"/>
        <w:i/>
        <w:sz w:val="16"/>
        <w:szCs w:val="16"/>
      </w:rPr>
    </w:pPr>
    <w:r w:rsidRPr="005B609A">
      <w:rPr>
        <w:rFonts w:ascii="Tahoma" w:hAnsi="Tahoma" w:cs="Tahoma"/>
        <w:i/>
        <w:sz w:val="16"/>
        <w:szCs w:val="16"/>
      </w:rPr>
      <w:t>Znak sprawy: 6/WOMP-ZCLiP/2022                 Specyfikacja  Warunków Zamówienia</w:t>
    </w:r>
  </w:p>
  <w:p w:rsidR="003834FB" w:rsidRPr="005B609A" w:rsidRDefault="003834FB" w:rsidP="005B609A">
    <w:pPr>
      <w:jc w:val="right"/>
      <w:rPr>
        <w:rFonts w:ascii="Tahoma" w:hAnsi="Tahoma" w:cs="Tahoma"/>
        <w:sz w:val="16"/>
        <w:szCs w:val="16"/>
      </w:rPr>
    </w:pPr>
    <w:r w:rsidRPr="005B609A">
      <w:rPr>
        <w:rFonts w:ascii="Tahoma" w:hAnsi="Tahoma" w:cs="Tahoma"/>
        <w:b/>
        <w:sz w:val="16"/>
        <w:szCs w:val="16"/>
      </w:rPr>
      <w:t>Załącznik Nr 2</w:t>
    </w:r>
    <w:r w:rsidR="00B64D34">
      <w:rPr>
        <w:rFonts w:ascii="Tahoma" w:hAnsi="Tahoma" w:cs="Tahoma"/>
        <w:b/>
        <w:sz w:val="16"/>
        <w:szCs w:val="16"/>
      </w:rPr>
      <w:t>E (dot. części 5 zam.)</w:t>
    </w:r>
    <w:r w:rsidRPr="005B609A">
      <w:rPr>
        <w:rFonts w:ascii="Tahoma" w:hAnsi="Tahoma" w:cs="Tahoma"/>
        <w:sz w:val="16"/>
        <w:szCs w:val="16"/>
      </w:rPr>
      <w:t xml:space="preserve"> do SWZ stanowiący integralną część Załącznika Nr 1 do SWZ</w:t>
    </w:r>
  </w:p>
  <w:p w:rsidR="003834FB" w:rsidRPr="005B609A" w:rsidRDefault="003834FB" w:rsidP="005B609A">
    <w:pPr>
      <w:jc w:val="right"/>
      <w:rPr>
        <w:rFonts w:ascii="Tahoma" w:hAnsi="Tahoma" w:cs="Tahoma"/>
        <w:b/>
        <w:sz w:val="16"/>
        <w:szCs w:val="16"/>
      </w:rPr>
    </w:pPr>
    <w:r w:rsidRPr="005B609A">
      <w:rPr>
        <w:rFonts w:ascii="Tahoma" w:hAnsi="Tahoma" w:cs="Tahoma"/>
        <w:b/>
        <w:sz w:val="16"/>
        <w:szCs w:val="16"/>
      </w:rPr>
      <w:t>(Wypełniony</w:t>
    </w:r>
    <w:r>
      <w:rPr>
        <w:rFonts w:ascii="Tahoma" w:hAnsi="Tahoma" w:cs="Tahoma"/>
        <w:b/>
        <w:sz w:val="16"/>
        <w:szCs w:val="16"/>
      </w:rPr>
      <w:t xml:space="preserve"> </w:t>
    </w:r>
    <w:r w:rsidRPr="008B1353">
      <w:rPr>
        <w:rFonts w:ascii="Tahoma" w:hAnsi="Tahoma" w:cs="Tahoma"/>
        <w:b/>
        <w:sz w:val="16"/>
        <w:szCs w:val="16"/>
      </w:rPr>
      <w:t>i opatrzony podpisem kwalifikowanym, zaufanym lub osobistym</w:t>
    </w:r>
    <w:r>
      <w:rPr>
        <w:rFonts w:ascii="Tahoma" w:hAnsi="Tahoma" w:cs="Tahoma"/>
        <w:b/>
        <w:sz w:val="18"/>
        <w:szCs w:val="18"/>
      </w:rPr>
      <w:t xml:space="preserve"> </w:t>
    </w:r>
    <w:r w:rsidRPr="005B609A">
      <w:rPr>
        <w:rFonts w:ascii="Tahoma" w:hAnsi="Tahoma" w:cs="Tahoma"/>
        <w:b/>
        <w:sz w:val="16"/>
        <w:szCs w:val="16"/>
      </w:rPr>
      <w:t>Załącznik Nr 2F</w:t>
    </w:r>
    <w:r>
      <w:rPr>
        <w:rFonts w:ascii="Tahoma" w:hAnsi="Tahoma" w:cs="Tahoma"/>
        <w:b/>
        <w:sz w:val="16"/>
        <w:szCs w:val="16"/>
      </w:rPr>
      <w:t xml:space="preserve"> </w:t>
    </w:r>
    <w:r w:rsidRPr="005B609A">
      <w:rPr>
        <w:rFonts w:ascii="Tahoma" w:hAnsi="Tahoma" w:cs="Tahoma"/>
        <w:b/>
        <w:sz w:val="16"/>
        <w:szCs w:val="16"/>
      </w:rPr>
      <w:t xml:space="preserve"> należy złożyć wraz z ofertą cenową, której wzór stanowi Załącznik Nr 1 do SWZ)</w:t>
    </w:r>
  </w:p>
  <w:p w:rsidR="003834FB" w:rsidRDefault="003834FB">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2E01"/>
    <w:multiLevelType w:val="hybridMultilevel"/>
    <w:tmpl w:val="2DCE7F0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8817B61"/>
    <w:multiLevelType w:val="multilevel"/>
    <w:tmpl w:val="0598E47A"/>
    <w:lvl w:ilvl="0">
      <w:start w:val="7"/>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Calibri" w:eastAsia="Calibri" w:hAnsi="Calibri" w:cs="Calibri" w:hint="default"/>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2">
    <w:nsid w:val="269C5CA9"/>
    <w:multiLevelType w:val="multilevel"/>
    <w:tmpl w:val="D4568B8A"/>
    <w:lvl w:ilvl="0">
      <w:start w:val="8"/>
      <w:numFmt w:val="decimal"/>
      <w:lvlText w:val="%1."/>
      <w:lvlJc w:val="left"/>
      <w:pPr>
        <w:ind w:left="360" w:hanging="360"/>
      </w:pPr>
      <w:rPr>
        <w:rFonts w:asciiTheme="minorHAnsi" w:eastAsiaTheme="minorHAnsi" w:hAnsiTheme="minorHAnsi" w:cstheme="minorHAnsi" w:hint="default"/>
        <w:sz w:val="20"/>
      </w:rPr>
    </w:lvl>
    <w:lvl w:ilvl="1">
      <w:start w:val="1"/>
      <w:numFmt w:val="decimal"/>
      <w:lvlText w:val="%1.%2."/>
      <w:lvlJc w:val="left"/>
      <w:pPr>
        <w:ind w:left="360" w:hanging="360"/>
      </w:pPr>
      <w:rPr>
        <w:rFonts w:ascii="Calibri" w:eastAsiaTheme="minorHAnsi" w:hAnsi="Calibri" w:cstheme="minorHAnsi" w:hint="default"/>
        <w:sz w:val="22"/>
      </w:rPr>
    </w:lvl>
    <w:lvl w:ilvl="2">
      <w:start w:val="1"/>
      <w:numFmt w:val="decimal"/>
      <w:lvlText w:val="%1.%2.%3."/>
      <w:lvlJc w:val="left"/>
      <w:pPr>
        <w:ind w:left="720" w:hanging="720"/>
      </w:pPr>
      <w:rPr>
        <w:rFonts w:asciiTheme="minorHAnsi" w:eastAsiaTheme="minorHAnsi" w:hAnsiTheme="minorHAnsi" w:cstheme="minorHAnsi" w:hint="default"/>
        <w:sz w:val="20"/>
      </w:rPr>
    </w:lvl>
    <w:lvl w:ilvl="3">
      <w:start w:val="1"/>
      <w:numFmt w:val="decimal"/>
      <w:lvlText w:val="%1.%2.%3.%4."/>
      <w:lvlJc w:val="left"/>
      <w:pPr>
        <w:ind w:left="720" w:hanging="720"/>
      </w:pPr>
      <w:rPr>
        <w:rFonts w:asciiTheme="minorHAnsi" w:eastAsiaTheme="minorHAnsi" w:hAnsiTheme="minorHAnsi" w:cstheme="minorHAnsi" w:hint="default"/>
        <w:sz w:val="20"/>
      </w:rPr>
    </w:lvl>
    <w:lvl w:ilvl="4">
      <w:start w:val="1"/>
      <w:numFmt w:val="decimal"/>
      <w:lvlText w:val="%1.%2.%3.%4.%5."/>
      <w:lvlJc w:val="left"/>
      <w:pPr>
        <w:ind w:left="1080" w:hanging="1080"/>
      </w:pPr>
      <w:rPr>
        <w:rFonts w:asciiTheme="minorHAnsi" w:eastAsiaTheme="minorHAnsi" w:hAnsiTheme="minorHAnsi" w:cstheme="minorHAnsi" w:hint="default"/>
        <w:sz w:val="20"/>
      </w:rPr>
    </w:lvl>
    <w:lvl w:ilvl="5">
      <w:start w:val="1"/>
      <w:numFmt w:val="decimal"/>
      <w:lvlText w:val="%1.%2.%3.%4.%5.%6."/>
      <w:lvlJc w:val="left"/>
      <w:pPr>
        <w:ind w:left="1080" w:hanging="1080"/>
      </w:pPr>
      <w:rPr>
        <w:rFonts w:asciiTheme="minorHAnsi" w:eastAsiaTheme="minorHAnsi" w:hAnsiTheme="minorHAnsi" w:cstheme="minorHAnsi" w:hint="default"/>
        <w:sz w:val="20"/>
      </w:rPr>
    </w:lvl>
    <w:lvl w:ilvl="6">
      <w:start w:val="1"/>
      <w:numFmt w:val="decimal"/>
      <w:lvlText w:val="%1.%2.%3.%4.%5.%6.%7."/>
      <w:lvlJc w:val="left"/>
      <w:pPr>
        <w:ind w:left="1440" w:hanging="1440"/>
      </w:pPr>
      <w:rPr>
        <w:rFonts w:asciiTheme="minorHAnsi" w:eastAsiaTheme="minorHAnsi" w:hAnsiTheme="minorHAnsi" w:cstheme="minorHAnsi" w:hint="default"/>
        <w:sz w:val="20"/>
      </w:rPr>
    </w:lvl>
    <w:lvl w:ilvl="7">
      <w:start w:val="1"/>
      <w:numFmt w:val="decimal"/>
      <w:lvlText w:val="%1.%2.%3.%4.%5.%6.%7.%8."/>
      <w:lvlJc w:val="left"/>
      <w:pPr>
        <w:ind w:left="1440" w:hanging="1440"/>
      </w:pPr>
      <w:rPr>
        <w:rFonts w:asciiTheme="minorHAnsi" w:eastAsiaTheme="minorHAnsi" w:hAnsiTheme="minorHAnsi" w:cstheme="minorHAnsi" w:hint="default"/>
        <w:sz w:val="20"/>
      </w:rPr>
    </w:lvl>
    <w:lvl w:ilvl="8">
      <w:start w:val="1"/>
      <w:numFmt w:val="decimal"/>
      <w:lvlText w:val="%1.%2.%3.%4.%5.%6.%7.%8.%9."/>
      <w:lvlJc w:val="left"/>
      <w:pPr>
        <w:ind w:left="1800" w:hanging="1800"/>
      </w:pPr>
      <w:rPr>
        <w:rFonts w:asciiTheme="minorHAnsi" w:eastAsiaTheme="minorHAnsi" w:hAnsiTheme="minorHAnsi" w:cstheme="minorHAnsi" w:hint="default"/>
        <w:sz w:val="20"/>
      </w:rPr>
    </w:lvl>
  </w:abstractNum>
  <w:abstractNum w:abstractNumId="3">
    <w:nsid w:val="29444D66"/>
    <w:multiLevelType w:val="hybridMultilevel"/>
    <w:tmpl w:val="A04C2D7A"/>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F9F2D3C"/>
    <w:multiLevelType w:val="hybridMultilevel"/>
    <w:tmpl w:val="B3344DA2"/>
    <w:lvl w:ilvl="0" w:tplc="AE3A660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046355A"/>
    <w:multiLevelType w:val="hybridMultilevel"/>
    <w:tmpl w:val="F22620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35C16AF9"/>
    <w:multiLevelType w:val="multilevel"/>
    <w:tmpl w:val="55DADF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AB60599"/>
    <w:multiLevelType w:val="hybridMultilevel"/>
    <w:tmpl w:val="A1B420EA"/>
    <w:lvl w:ilvl="0" w:tplc="D0722E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EE357ED"/>
    <w:multiLevelType w:val="hybridMultilevel"/>
    <w:tmpl w:val="B7A6F64E"/>
    <w:lvl w:ilvl="0" w:tplc="04150001">
      <w:start w:val="1"/>
      <w:numFmt w:val="bullet"/>
      <w:lvlText w:val=""/>
      <w:lvlJc w:val="left"/>
      <w:pPr>
        <w:ind w:left="1950" w:hanging="360"/>
      </w:pPr>
      <w:rPr>
        <w:rFonts w:ascii="Symbol" w:hAnsi="Symbol" w:hint="default"/>
      </w:rPr>
    </w:lvl>
    <w:lvl w:ilvl="1" w:tplc="04150003" w:tentative="1">
      <w:start w:val="1"/>
      <w:numFmt w:val="bullet"/>
      <w:lvlText w:val="o"/>
      <w:lvlJc w:val="left"/>
      <w:pPr>
        <w:ind w:left="2670" w:hanging="360"/>
      </w:pPr>
      <w:rPr>
        <w:rFonts w:ascii="Courier New" w:hAnsi="Courier New" w:cs="Courier New" w:hint="default"/>
      </w:rPr>
    </w:lvl>
    <w:lvl w:ilvl="2" w:tplc="04150005" w:tentative="1">
      <w:start w:val="1"/>
      <w:numFmt w:val="bullet"/>
      <w:lvlText w:val=""/>
      <w:lvlJc w:val="left"/>
      <w:pPr>
        <w:ind w:left="3390" w:hanging="360"/>
      </w:pPr>
      <w:rPr>
        <w:rFonts w:ascii="Wingdings" w:hAnsi="Wingdings" w:hint="default"/>
      </w:rPr>
    </w:lvl>
    <w:lvl w:ilvl="3" w:tplc="04150001" w:tentative="1">
      <w:start w:val="1"/>
      <w:numFmt w:val="bullet"/>
      <w:lvlText w:val=""/>
      <w:lvlJc w:val="left"/>
      <w:pPr>
        <w:ind w:left="4110" w:hanging="360"/>
      </w:pPr>
      <w:rPr>
        <w:rFonts w:ascii="Symbol" w:hAnsi="Symbol" w:hint="default"/>
      </w:rPr>
    </w:lvl>
    <w:lvl w:ilvl="4" w:tplc="04150003" w:tentative="1">
      <w:start w:val="1"/>
      <w:numFmt w:val="bullet"/>
      <w:lvlText w:val="o"/>
      <w:lvlJc w:val="left"/>
      <w:pPr>
        <w:ind w:left="4830" w:hanging="360"/>
      </w:pPr>
      <w:rPr>
        <w:rFonts w:ascii="Courier New" w:hAnsi="Courier New" w:cs="Courier New" w:hint="default"/>
      </w:rPr>
    </w:lvl>
    <w:lvl w:ilvl="5" w:tplc="04150005" w:tentative="1">
      <w:start w:val="1"/>
      <w:numFmt w:val="bullet"/>
      <w:lvlText w:val=""/>
      <w:lvlJc w:val="left"/>
      <w:pPr>
        <w:ind w:left="5550" w:hanging="360"/>
      </w:pPr>
      <w:rPr>
        <w:rFonts w:ascii="Wingdings" w:hAnsi="Wingdings" w:hint="default"/>
      </w:rPr>
    </w:lvl>
    <w:lvl w:ilvl="6" w:tplc="04150001" w:tentative="1">
      <w:start w:val="1"/>
      <w:numFmt w:val="bullet"/>
      <w:lvlText w:val=""/>
      <w:lvlJc w:val="left"/>
      <w:pPr>
        <w:ind w:left="6270" w:hanging="360"/>
      </w:pPr>
      <w:rPr>
        <w:rFonts w:ascii="Symbol" w:hAnsi="Symbol" w:hint="default"/>
      </w:rPr>
    </w:lvl>
    <w:lvl w:ilvl="7" w:tplc="04150003" w:tentative="1">
      <w:start w:val="1"/>
      <w:numFmt w:val="bullet"/>
      <w:lvlText w:val="o"/>
      <w:lvlJc w:val="left"/>
      <w:pPr>
        <w:ind w:left="6990" w:hanging="360"/>
      </w:pPr>
      <w:rPr>
        <w:rFonts w:ascii="Courier New" w:hAnsi="Courier New" w:cs="Courier New" w:hint="default"/>
      </w:rPr>
    </w:lvl>
    <w:lvl w:ilvl="8" w:tplc="04150005" w:tentative="1">
      <w:start w:val="1"/>
      <w:numFmt w:val="bullet"/>
      <w:lvlText w:val=""/>
      <w:lvlJc w:val="left"/>
      <w:pPr>
        <w:ind w:left="7710" w:hanging="360"/>
      </w:pPr>
      <w:rPr>
        <w:rFonts w:ascii="Wingdings" w:hAnsi="Wingdings" w:hint="default"/>
      </w:rPr>
    </w:lvl>
  </w:abstractNum>
  <w:abstractNum w:abstractNumId="9">
    <w:nsid w:val="42C82E73"/>
    <w:multiLevelType w:val="multilevel"/>
    <w:tmpl w:val="3F644CC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B861C1F"/>
    <w:multiLevelType w:val="multilevel"/>
    <w:tmpl w:val="E0C0A2FE"/>
    <w:lvl w:ilvl="0">
      <w:start w:val="1"/>
      <w:numFmt w:val="decimal"/>
      <w:lvlText w:val="%1."/>
      <w:lvlJc w:val="left"/>
      <w:pPr>
        <w:ind w:left="720" w:hanging="360"/>
      </w:pPr>
      <w:rPr>
        <w:rFonts w:hint="default"/>
        <w:b/>
        <w:bCs/>
        <w:sz w:val="22"/>
        <w:szCs w:val="22"/>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1">
    <w:nsid w:val="50E64474"/>
    <w:multiLevelType w:val="multilevel"/>
    <w:tmpl w:val="FA982D54"/>
    <w:lvl w:ilvl="0">
      <w:start w:val="9"/>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12">
    <w:nsid w:val="519B6B5E"/>
    <w:multiLevelType w:val="multilevel"/>
    <w:tmpl w:val="677807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5445B54"/>
    <w:multiLevelType w:val="multilevel"/>
    <w:tmpl w:val="C1B24F04"/>
    <w:lvl w:ilvl="0">
      <w:start w:val="10"/>
      <w:numFmt w:val="decimal"/>
      <w:lvlText w:val="%1."/>
      <w:lvlJc w:val="left"/>
      <w:pPr>
        <w:ind w:left="405" w:hanging="405"/>
      </w:pPr>
      <w:rPr>
        <w:rFonts w:hint="default"/>
      </w:rPr>
    </w:lvl>
    <w:lvl w:ilvl="1">
      <w:start w:val="1"/>
      <w:numFmt w:val="decimal"/>
      <w:lvlText w:val="%1.%2."/>
      <w:lvlJc w:val="left"/>
      <w:pPr>
        <w:ind w:left="405" w:hanging="405"/>
      </w:pPr>
      <w:rPr>
        <w:rFonts w:ascii="Calibri" w:hAnsi="Calibr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563861EC"/>
    <w:multiLevelType w:val="multilevel"/>
    <w:tmpl w:val="AD4A7A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E97DEC"/>
    <w:multiLevelType w:val="multilevel"/>
    <w:tmpl w:val="0BAE5C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5BC02644"/>
    <w:multiLevelType w:val="hybridMultilevel"/>
    <w:tmpl w:val="4066F2A2"/>
    <w:lvl w:ilvl="0" w:tplc="04150001">
      <w:start w:val="1"/>
      <w:numFmt w:val="bullet"/>
      <w:lvlText w:val=""/>
      <w:lvlJc w:val="left"/>
      <w:pPr>
        <w:ind w:left="1950" w:hanging="360"/>
      </w:pPr>
      <w:rPr>
        <w:rFonts w:ascii="Symbol" w:hAnsi="Symbol" w:hint="default"/>
      </w:rPr>
    </w:lvl>
    <w:lvl w:ilvl="1" w:tplc="04150003" w:tentative="1">
      <w:start w:val="1"/>
      <w:numFmt w:val="bullet"/>
      <w:lvlText w:val="o"/>
      <w:lvlJc w:val="left"/>
      <w:pPr>
        <w:ind w:left="2670" w:hanging="360"/>
      </w:pPr>
      <w:rPr>
        <w:rFonts w:ascii="Courier New" w:hAnsi="Courier New" w:cs="Courier New" w:hint="default"/>
      </w:rPr>
    </w:lvl>
    <w:lvl w:ilvl="2" w:tplc="04150005" w:tentative="1">
      <w:start w:val="1"/>
      <w:numFmt w:val="bullet"/>
      <w:lvlText w:val=""/>
      <w:lvlJc w:val="left"/>
      <w:pPr>
        <w:ind w:left="3390" w:hanging="360"/>
      </w:pPr>
      <w:rPr>
        <w:rFonts w:ascii="Wingdings" w:hAnsi="Wingdings" w:hint="default"/>
      </w:rPr>
    </w:lvl>
    <w:lvl w:ilvl="3" w:tplc="04150001" w:tentative="1">
      <w:start w:val="1"/>
      <w:numFmt w:val="bullet"/>
      <w:lvlText w:val=""/>
      <w:lvlJc w:val="left"/>
      <w:pPr>
        <w:ind w:left="4110" w:hanging="360"/>
      </w:pPr>
      <w:rPr>
        <w:rFonts w:ascii="Symbol" w:hAnsi="Symbol" w:hint="default"/>
      </w:rPr>
    </w:lvl>
    <w:lvl w:ilvl="4" w:tplc="04150003" w:tentative="1">
      <w:start w:val="1"/>
      <w:numFmt w:val="bullet"/>
      <w:lvlText w:val="o"/>
      <w:lvlJc w:val="left"/>
      <w:pPr>
        <w:ind w:left="4830" w:hanging="360"/>
      </w:pPr>
      <w:rPr>
        <w:rFonts w:ascii="Courier New" w:hAnsi="Courier New" w:cs="Courier New" w:hint="default"/>
      </w:rPr>
    </w:lvl>
    <w:lvl w:ilvl="5" w:tplc="04150005" w:tentative="1">
      <w:start w:val="1"/>
      <w:numFmt w:val="bullet"/>
      <w:lvlText w:val=""/>
      <w:lvlJc w:val="left"/>
      <w:pPr>
        <w:ind w:left="5550" w:hanging="360"/>
      </w:pPr>
      <w:rPr>
        <w:rFonts w:ascii="Wingdings" w:hAnsi="Wingdings" w:hint="default"/>
      </w:rPr>
    </w:lvl>
    <w:lvl w:ilvl="6" w:tplc="04150001" w:tentative="1">
      <w:start w:val="1"/>
      <w:numFmt w:val="bullet"/>
      <w:lvlText w:val=""/>
      <w:lvlJc w:val="left"/>
      <w:pPr>
        <w:ind w:left="6270" w:hanging="360"/>
      </w:pPr>
      <w:rPr>
        <w:rFonts w:ascii="Symbol" w:hAnsi="Symbol" w:hint="default"/>
      </w:rPr>
    </w:lvl>
    <w:lvl w:ilvl="7" w:tplc="04150003" w:tentative="1">
      <w:start w:val="1"/>
      <w:numFmt w:val="bullet"/>
      <w:lvlText w:val="o"/>
      <w:lvlJc w:val="left"/>
      <w:pPr>
        <w:ind w:left="6990" w:hanging="360"/>
      </w:pPr>
      <w:rPr>
        <w:rFonts w:ascii="Courier New" w:hAnsi="Courier New" w:cs="Courier New" w:hint="default"/>
      </w:rPr>
    </w:lvl>
    <w:lvl w:ilvl="8" w:tplc="04150005" w:tentative="1">
      <w:start w:val="1"/>
      <w:numFmt w:val="bullet"/>
      <w:lvlText w:val=""/>
      <w:lvlJc w:val="left"/>
      <w:pPr>
        <w:ind w:left="7710" w:hanging="360"/>
      </w:pPr>
      <w:rPr>
        <w:rFonts w:ascii="Wingdings" w:hAnsi="Wingdings" w:hint="default"/>
      </w:rPr>
    </w:lvl>
  </w:abstractNum>
  <w:abstractNum w:abstractNumId="17">
    <w:nsid w:val="5D13623E"/>
    <w:multiLevelType w:val="hybridMultilevel"/>
    <w:tmpl w:val="92926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2B47107"/>
    <w:multiLevelType w:val="hybridMultilevel"/>
    <w:tmpl w:val="9D9CD9E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9BB78D6"/>
    <w:multiLevelType w:val="multilevel"/>
    <w:tmpl w:val="E8325A6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F752955"/>
    <w:multiLevelType w:val="hybridMultilevel"/>
    <w:tmpl w:val="7DA6E032"/>
    <w:lvl w:ilvl="0" w:tplc="0415000F">
      <w:start w:val="1"/>
      <w:numFmt w:val="decimal"/>
      <w:lvlText w:val="%1."/>
      <w:lvlJc w:val="left"/>
      <w:pPr>
        <w:ind w:left="1440" w:hanging="360"/>
      </w:pPr>
    </w:lvl>
    <w:lvl w:ilvl="1" w:tplc="7AE2CBBA">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72975ADB"/>
    <w:multiLevelType w:val="multilevel"/>
    <w:tmpl w:val="A724A6BE"/>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2CA04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7FE20D7"/>
    <w:multiLevelType w:val="hybridMultilevel"/>
    <w:tmpl w:val="37F8A7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9"/>
  </w:num>
  <w:num w:numId="3">
    <w:abstractNumId w:val="1"/>
  </w:num>
  <w:num w:numId="4">
    <w:abstractNumId w:val="19"/>
  </w:num>
  <w:num w:numId="5">
    <w:abstractNumId w:val="14"/>
  </w:num>
  <w:num w:numId="6">
    <w:abstractNumId w:val="10"/>
  </w:num>
  <w:num w:numId="7">
    <w:abstractNumId w:val="11"/>
  </w:num>
  <w:num w:numId="8">
    <w:abstractNumId w:val="12"/>
  </w:num>
  <w:num w:numId="9">
    <w:abstractNumId w:val="15"/>
  </w:num>
  <w:num w:numId="10">
    <w:abstractNumId w:val="2"/>
  </w:num>
  <w:num w:numId="11">
    <w:abstractNumId w:val="13"/>
  </w:num>
  <w:num w:numId="12">
    <w:abstractNumId w:val="8"/>
  </w:num>
  <w:num w:numId="13">
    <w:abstractNumId w:val="16"/>
  </w:num>
  <w:num w:numId="14">
    <w:abstractNumId w:val="21"/>
  </w:num>
  <w:num w:numId="15">
    <w:abstractNumId w:val="3"/>
  </w:num>
  <w:num w:numId="16">
    <w:abstractNumId w:val="23"/>
  </w:num>
  <w:num w:numId="17">
    <w:abstractNumId w:val="7"/>
  </w:num>
  <w:num w:numId="18">
    <w:abstractNumId w:val="20"/>
  </w:num>
  <w:num w:numId="19">
    <w:abstractNumId w:val="0"/>
  </w:num>
  <w:num w:numId="20">
    <w:abstractNumId w:val="5"/>
  </w:num>
  <w:num w:numId="21">
    <w:abstractNumId w:val="18"/>
  </w:num>
  <w:num w:numId="22">
    <w:abstractNumId w:val="17"/>
  </w:num>
  <w:num w:numId="23">
    <w:abstractNumId w:val="4"/>
  </w:num>
  <w:num w:numId="24">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istrator-ASUS">
    <w15:presenceInfo w15:providerId="None" w15:userId="Administrator-ASU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A1B76"/>
    <w:rsid w:val="000A1B76"/>
    <w:rsid w:val="000B4569"/>
    <w:rsid w:val="00125E91"/>
    <w:rsid w:val="00132F1C"/>
    <w:rsid w:val="00147054"/>
    <w:rsid w:val="00162695"/>
    <w:rsid w:val="001850BF"/>
    <w:rsid w:val="001A70CD"/>
    <w:rsid w:val="00267EB6"/>
    <w:rsid w:val="00290C8B"/>
    <w:rsid w:val="00296165"/>
    <w:rsid w:val="002A24BA"/>
    <w:rsid w:val="002C34B1"/>
    <w:rsid w:val="00342EBF"/>
    <w:rsid w:val="003834FB"/>
    <w:rsid w:val="00397AE5"/>
    <w:rsid w:val="003A33DA"/>
    <w:rsid w:val="003B760A"/>
    <w:rsid w:val="00417A68"/>
    <w:rsid w:val="00486531"/>
    <w:rsid w:val="004B5C35"/>
    <w:rsid w:val="004D033F"/>
    <w:rsid w:val="0050395A"/>
    <w:rsid w:val="00556270"/>
    <w:rsid w:val="0058551B"/>
    <w:rsid w:val="00590B88"/>
    <w:rsid w:val="005A094E"/>
    <w:rsid w:val="005B609A"/>
    <w:rsid w:val="005D4097"/>
    <w:rsid w:val="006004DE"/>
    <w:rsid w:val="00626513"/>
    <w:rsid w:val="006C50D0"/>
    <w:rsid w:val="006D282D"/>
    <w:rsid w:val="00756D5A"/>
    <w:rsid w:val="00764AB5"/>
    <w:rsid w:val="007E1D1C"/>
    <w:rsid w:val="0087342A"/>
    <w:rsid w:val="00896303"/>
    <w:rsid w:val="008B1353"/>
    <w:rsid w:val="009401CF"/>
    <w:rsid w:val="009A508E"/>
    <w:rsid w:val="009B1FE4"/>
    <w:rsid w:val="009D527D"/>
    <w:rsid w:val="00A113A8"/>
    <w:rsid w:val="00A37EF8"/>
    <w:rsid w:val="00A87A2D"/>
    <w:rsid w:val="00AB127E"/>
    <w:rsid w:val="00AB3D8E"/>
    <w:rsid w:val="00AB5FA6"/>
    <w:rsid w:val="00AD4776"/>
    <w:rsid w:val="00AF74CF"/>
    <w:rsid w:val="00AF7DC7"/>
    <w:rsid w:val="00B334B1"/>
    <w:rsid w:val="00B33CCC"/>
    <w:rsid w:val="00B64D34"/>
    <w:rsid w:val="00B83A34"/>
    <w:rsid w:val="00B84772"/>
    <w:rsid w:val="00BB2DA6"/>
    <w:rsid w:val="00BB7A2D"/>
    <w:rsid w:val="00BD082B"/>
    <w:rsid w:val="00BE2F18"/>
    <w:rsid w:val="00BF6888"/>
    <w:rsid w:val="00C040BA"/>
    <w:rsid w:val="00C446F5"/>
    <w:rsid w:val="00C507FD"/>
    <w:rsid w:val="00C60F2F"/>
    <w:rsid w:val="00C61A6E"/>
    <w:rsid w:val="00C636E5"/>
    <w:rsid w:val="00C65723"/>
    <w:rsid w:val="00C76EEC"/>
    <w:rsid w:val="00C932A6"/>
    <w:rsid w:val="00D45A7B"/>
    <w:rsid w:val="00D45ADA"/>
    <w:rsid w:val="00D66749"/>
    <w:rsid w:val="00D74991"/>
    <w:rsid w:val="00DE4706"/>
    <w:rsid w:val="00DE50B9"/>
    <w:rsid w:val="00E23FF1"/>
    <w:rsid w:val="00E558D7"/>
    <w:rsid w:val="00E64809"/>
    <w:rsid w:val="00EB199F"/>
    <w:rsid w:val="00EB736E"/>
    <w:rsid w:val="00EE3FF8"/>
    <w:rsid w:val="00EF0F72"/>
    <w:rsid w:val="00EF2915"/>
    <w:rsid w:val="00F041FE"/>
    <w:rsid w:val="00F41040"/>
    <w:rsid w:val="00FE418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F74CF"/>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1,sw tekst,Akapit z listą5,normalny tekst,lp1,Preambuła,Lista num,HŁ_Bullet1,Bulleted list,Colorful Shading - Accent 31,Light List - Accent 51,Kolorowa lista — akcent 11,Akapit normalny,Obiekt,List Paragraph"/>
    <w:basedOn w:val="Normalny"/>
    <w:link w:val="AkapitzlistZnak"/>
    <w:uiPriority w:val="99"/>
    <w:qFormat/>
    <w:rsid w:val="00AF74CF"/>
    <w:pPr>
      <w:ind w:left="720"/>
    </w:pPr>
  </w:style>
  <w:style w:type="character" w:styleId="Hipercze">
    <w:name w:val="Hyperlink"/>
    <w:basedOn w:val="Domylnaczcionkaakapitu"/>
    <w:uiPriority w:val="99"/>
    <w:unhideWhenUsed/>
    <w:rsid w:val="00AB127E"/>
    <w:rPr>
      <w:color w:val="0563C1" w:themeColor="hyperlink"/>
      <w:u w:val="single"/>
    </w:rPr>
  </w:style>
  <w:style w:type="table" w:styleId="Tabela-Siatka">
    <w:name w:val="Table Grid"/>
    <w:basedOn w:val="Standardowy"/>
    <w:uiPriority w:val="39"/>
    <w:rsid w:val="00AB127E"/>
    <w:pPr>
      <w:autoSpaceDN/>
      <w:spacing w:after="0" w:line="240" w:lineRule="auto"/>
      <w:textAlignment w:val="auto"/>
    </w:pPr>
    <w:rPr>
      <w:rFonts w:ascii="Times New Roman" w:eastAsia="Times New Roman" w:hAnsi="Times New Roman"/>
      <w:sz w:val="20"/>
      <w:szCs w:val="20"/>
      <w:lang w:val="cs-CZ"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5B60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609A"/>
  </w:style>
  <w:style w:type="paragraph" w:styleId="Stopka">
    <w:name w:val="footer"/>
    <w:basedOn w:val="Normalny"/>
    <w:link w:val="StopkaZnak"/>
    <w:uiPriority w:val="99"/>
    <w:semiHidden/>
    <w:unhideWhenUsed/>
    <w:rsid w:val="005B609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5B609A"/>
  </w:style>
  <w:style w:type="paragraph" w:styleId="Tekstdymka">
    <w:name w:val="Balloon Text"/>
    <w:basedOn w:val="Normalny"/>
    <w:link w:val="TekstdymkaZnak"/>
    <w:uiPriority w:val="99"/>
    <w:semiHidden/>
    <w:unhideWhenUsed/>
    <w:rsid w:val="005B60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B609A"/>
    <w:rPr>
      <w:rFonts w:ascii="Tahoma" w:hAnsi="Tahoma" w:cs="Tahoma"/>
      <w:sz w:val="16"/>
      <w:szCs w:val="16"/>
    </w:rPr>
  </w:style>
  <w:style w:type="character" w:customStyle="1" w:styleId="WW8Num1z0">
    <w:name w:val="WW8Num1z0"/>
    <w:rsid w:val="005D4097"/>
  </w:style>
  <w:style w:type="character" w:customStyle="1" w:styleId="AkapitzlistZnak">
    <w:name w:val="Akapit z listą Znak"/>
    <w:aliases w:val="Numerowanie Znak,Akapit z listą BS Znak,L1 Znak,sw tekst Znak,Akapit z listą5 Znak,normalny tekst Znak,lp1 Znak,Preambuła Znak,Lista num Znak,HŁ_Bullet1 Znak,Bulleted list Znak,Colorful Shading - Accent 31 Znak,Akapit normalny Znak"/>
    <w:link w:val="Akapitzlist"/>
    <w:uiPriority w:val="99"/>
    <w:qFormat/>
    <w:locked/>
    <w:rsid w:val="005D4097"/>
  </w:style>
  <w:style w:type="character" w:styleId="Odwoaniedokomentarza">
    <w:name w:val="annotation reference"/>
    <w:basedOn w:val="Domylnaczcionkaakapitu"/>
    <w:uiPriority w:val="99"/>
    <w:semiHidden/>
    <w:unhideWhenUsed/>
    <w:rsid w:val="00F041FE"/>
    <w:rPr>
      <w:sz w:val="16"/>
      <w:szCs w:val="16"/>
    </w:rPr>
  </w:style>
  <w:style w:type="paragraph" w:styleId="Tekstkomentarza">
    <w:name w:val="annotation text"/>
    <w:basedOn w:val="Normalny"/>
    <w:link w:val="TekstkomentarzaZnak"/>
    <w:uiPriority w:val="99"/>
    <w:semiHidden/>
    <w:unhideWhenUsed/>
    <w:rsid w:val="00F041F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041FE"/>
    <w:rPr>
      <w:sz w:val="20"/>
      <w:szCs w:val="20"/>
    </w:rPr>
  </w:style>
  <w:style w:type="paragraph" w:styleId="Tematkomentarza">
    <w:name w:val="annotation subject"/>
    <w:basedOn w:val="Tekstkomentarza"/>
    <w:next w:val="Tekstkomentarza"/>
    <w:link w:val="TematkomentarzaZnak"/>
    <w:uiPriority w:val="99"/>
    <w:semiHidden/>
    <w:unhideWhenUsed/>
    <w:rsid w:val="00F041FE"/>
    <w:rPr>
      <w:b/>
      <w:bCs/>
    </w:rPr>
  </w:style>
  <w:style w:type="character" w:customStyle="1" w:styleId="TematkomentarzaZnak">
    <w:name w:val="Temat komentarza Znak"/>
    <w:basedOn w:val="TekstkomentarzaZnak"/>
    <w:link w:val="Tematkomentarza"/>
    <w:uiPriority w:val="99"/>
    <w:semiHidden/>
    <w:rsid w:val="00F041FE"/>
    <w:rPr>
      <w:b/>
      <w:bCs/>
      <w:sz w:val="20"/>
      <w:szCs w:val="20"/>
    </w:rPr>
  </w:style>
</w:styles>
</file>

<file path=word/webSettings.xml><?xml version="1.0" encoding="utf-8"?>
<w:webSettings xmlns:r="http://schemas.openxmlformats.org/officeDocument/2006/relationships" xmlns:w="http://schemas.openxmlformats.org/wordprocessingml/2006/main">
  <w:divs>
    <w:div w:id="24791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1161</TotalTime>
  <Pages>3</Pages>
  <Words>1280</Words>
  <Characters>7685</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Michalczuk</dc:creator>
  <dc:description/>
  <cp:lastModifiedBy>Małgorzata Bielecka</cp:lastModifiedBy>
  <cp:revision>45</cp:revision>
  <cp:lastPrinted>2022-11-02T07:51:00Z</cp:lastPrinted>
  <dcterms:created xsi:type="dcterms:W3CDTF">2022-01-25T07:21:00Z</dcterms:created>
  <dcterms:modified xsi:type="dcterms:W3CDTF">2022-11-02T07:51:00Z</dcterms:modified>
</cp:coreProperties>
</file>